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11" w:rsidRPr="00820D11" w:rsidRDefault="00820D11" w:rsidP="00820D11">
      <w:pPr>
        <w:jc w:val="center"/>
        <w:rPr>
          <w:rStyle w:val="Strong"/>
          <w:rFonts w:ascii="Arial" w:hAnsi="Arial" w:cs="Arial"/>
          <w:bCs w:val="0"/>
          <w:color w:val="000000" w:themeColor="text1"/>
          <w:sz w:val="24"/>
          <w:szCs w:val="24"/>
          <w:u w:val="single"/>
          <w:shd w:val="clear" w:color="auto" w:fill="FFFFFF"/>
        </w:rPr>
      </w:pPr>
      <w:r w:rsidRPr="00820D11">
        <w:rPr>
          <w:rStyle w:val="Strong"/>
          <w:rFonts w:ascii="Arial" w:hAnsi="Arial" w:cs="Arial"/>
          <w:bCs w:val="0"/>
          <w:color w:val="000000" w:themeColor="text1"/>
          <w:sz w:val="24"/>
          <w:szCs w:val="24"/>
          <w:u w:val="single"/>
          <w:shd w:val="clear" w:color="auto" w:fill="FFFFFF"/>
        </w:rPr>
        <w:t>Diploma in Treasury, Investment and Risk Management</w:t>
      </w:r>
    </w:p>
    <w:tbl>
      <w:tblPr>
        <w:tblStyle w:val="TableGrid"/>
        <w:tblW w:w="0" w:type="auto"/>
        <w:tblLook w:val="04A0" w:firstRow="1" w:lastRow="0" w:firstColumn="1" w:lastColumn="0" w:noHBand="0" w:noVBand="1"/>
      </w:tblPr>
      <w:tblGrid>
        <w:gridCol w:w="988"/>
        <w:gridCol w:w="8028"/>
      </w:tblGrid>
      <w:tr w:rsidR="00820D11" w:rsidTr="00166FBD">
        <w:tc>
          <w:tcPr>
            <w:tcW w:w="988" w:type="dxa"/>
          </w:tcPr>
          <w:p w:rsidR="00820D11" w:rsidRPr="00A90399" w:rsidRDefault="00820D11" w:rsidP="00166FBD">
            <w:pPr>
              <w:rPr>
                <w:b/>
              </w:rPr>
            </w:pPr>
            <w:r w:rsidRPr="00A90399">
              <w:rPr>
                <w:rFonts w:eastAsia="Times New Roman" w:cstheme="minorHAnsi"/>
                <w:b/>
                <w:bCs/>
                <w:color w:val="000000"/>
                <w:lang w:eastAsia="en-IN"/>
              </w:rPr>
              <w:t>Sr. No.</w:t>
            </w:r>
          </w:p>
        </w:tc>
        <w:tc>
          <w:tcPr>
            <w:tcW w:w="8028" w:type="dxa"/>
          </w:tcPr>
          <w:p w:rsidR="00820D11" w:rsidRPr="00951F52" w:rsidRDefault="00820D11" w:rsidP="00166FBD">
            <w:r w:rsidRPr="00951F52">
              <w:rPr>
                <w:rFonts w:eastAsia="Times New Roman" w:cstheme="minorHAnsi"/>
                <w:b/>
                <w:bCs/>
                <w:color w:val="000000"/>
                <w:lang w:eastAsia="en-IN"/>
              </w:rPr>
              <w:t>Important Notifications</w:t>
            </w:r>
          </w:p>
        </w:tc>
      </w:tr>
      <w:tr w:rsidR="00820D11" w:rsidTr="00166FBD">
        <w:tc>
          <w:tcPr>
            <w:tcW w:w="988" w:type="dxa"/>
          </w:tcPr>
          <w:p w:rsidR="00820D11" w:rsidRPr="00951F52" w:rsidRDefault="00820D11" w:rsidP="00166FBD">
            <w:r w:rsidRPr="00951F52">
              <w:t>1</w:t>
            </w:r>
          </w:p>
        </w:tc>
        <w:tc>
          <w:tcPr>
            <w:tcW w:w="8028" w:type="dxa"/>
          </w:tcPr>
          <w:p w:rsidR="00820D11" w:rsidRPr="00A90399" w:rsidRDefault="00820D11" w:rsidP="00166FBD">
            <w:pPr>
              <w:rPr>
                <w:color w:val="000000" w:themeColor="text1"/>
                <w:sz w:val="24"/>
                <w:szCs w:val="24"/>
              </w:rPr>
            </w:pPr>
            <w:r w:rsidRPr="00820D11">
              <w:rPr>
                <w:color w:val="000000" w:themeColor="text1"/>
                <w:sz w:val="24"/>
                <w:szCs w:val="24"/>
              </w:rPr>
              <w:t>Reserve Bank of India Act, 1934 - Section 42(1A) - Requirement for maintaining additional CRR</w:t>
            </w:r>
          </w:p>
        </w:tc>
      </w:tr>
      <w:tr w:rsidR="00820D11" w:rsidTr="00166FBD">
        <w:tc>
          <w:tcPr>
            <w:tcW w:w="988" w:type="dxa"/>
          </w:tcPr>
          <w:p w:rsidR="00820D11" w:rsidRPr="00951F52" w:rsidRDefault="00820D11" w:rsidP="00166FBD">
            <w:r w:rsidRPr="00951F52">
              <w:t>2</w:t>
            </w:r>
          </w:p>
        </w:tc>
        <w:tc>
          <w:tcPr>
            <w:tcW w:w="8028" w:type="dxa"/>
          </w:tcPr>
          <w:p w:rsidR="00820D11" w:rsidRPr="000560DD" w:rsidRDefault="00820D11" w:rsidP="00166FBD">
            <w:pPr>
              <w:rPr>
                <w:color w:val="000000" w:themeColor="text1"/>
                <w:sz w:val="24"/>
                <w:szCs w:val="24"/>
              </w:rPr>
            </w:pPr>
            <w:r w:rsidRPr="00820D11">
              <w:rPr>
                <w:color w:val="000000" w:themeColor="text1"/>
                <w:sz w:val="24"/>
                <w:szCs w:val="24"/>
              </w:rPr>
              <w:t>Master Direction - Classification, Valuation and Operation of Investment Portfolio of Commercial Banks (Directions), 2023</w:t>
            </w:r>
          </w:p>
        </w:tc>
      </w:tr>
      <w:tr w:rsidR="00820D11" w:rsidTr="00166FBD">
        <w:tc>
          <w:tcPr>
            <w:tcW w:w="988" w:type="dxa"/>
          </w:tcPr>
          <w:p w:rsidR="00820D11" w:rsidRPr="00951F52" w:rsidRDefault="00820D11" w:rsidP="00166FBD">
            <w:r w:rsidRPr="00951F52">
              <w:t>3</w:t>
            </w:r>
          </w:p>
        </w:tc>
        <w:tc>
          <w:tcPr>
            <w:tcW w:w="8028" w:type="dxa"/>
          </w:tcPr>
          <w:p w:rsidR="00820D11" w:rsidRPr="00966B36" w:rsidRDefault="00820D11" w:rsidP="00166FBD">
            <w:pPr>
              <w:rPr>
                <w:color w:val="000000" w:themeColor="text1"/>
                <w:sz w:val="24"/>
                <w:szCs w:val="24"/>
              </w:rPr>
            </w:pPr>
            <w:r w:rsidRPr="00820D11">
              <w:rPr>
                <w:color w:val="000000" w:themeColor="text1"/>
                <w:sz w:val="24"/>
                <w:szCs w:val="24"/>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tc>
      </w:tr>
      <w:tr w:rsidR="00820D11" w:rsidTr="00166FBD">
        <w:tc>
          <w:tcPr>
            <w:tcW w:w="988" w:type="dxa"/>
          </w:tcPr>
          <w:p w:rsidR="00820D11" w:rsidRPr="00951F52" w:rsidRDefault="00820D11" w:rsidP="00166FBD">
            <w:r w:rsidRPr="00951F52">
              <w:t>4</w:t>
            </w:r>
          </w:p>
        </w:tc>
        <w:tc>
          <w:tcPr>
            <w:tcW w:w="8028" w:type="dxa"/>
          </w:tcPr>
          <w:p w:rsidR="00820D11" w:rsidRPr="00966B36" w:rsidRDefault="00820D11" w:rsidP="00166FBD">
            <w:pPr>
              <w:rPr>
                <w:color w:val="000000" w:themeColor="text1"/>
                <w:sz w:val="24"/>
                <w:szCs w:val="24"/>
              </w:rPr>
            </w:pPr>
            <w:r w:rsidRPr="00820D11">
              <w:rPr>
                <w:color w:val="000000" w:themeColor="text1"/>
                <w:sz w:val="24"/>
                <w:szCs w:val="24"/>
              </w:rPr>
              <w:t>Reverse Repo transactions - Reporting in Form ‘A’ Return</w:t>
            </w:r>
          </w:p>
        </w:tc>
      </w:tr>
      <w:tr w:rsidR="00820D11" w:rsidTr="00166FBD">
        <w:tc>
          <w:tcPr>
            <w:tcW w:w="988" w:type="dxa"/>
          </w:tcPr>
          <w:p w:rsidR="00820D11" w:rsidRPr="00951F52" w:rsidRDefault="00820D11" w:rsidP="00166FBD">
            <w:r w:rsidRPr="00951F52">
              <w:t>5</w:t>
            </w:r>
          </w:p>
        </w:tc>
        <w:tc>
          <w:tcPr>
            <w:tcW w:w="8028" w:type="dxa"/>
          </w:tcPr>
          <w:p w:rsidR="00820D11" w:rsidRPr="00966B36" w:rsidRDefault="00820D11" w:rsidP="00166FBD">
            <w:pPr>
              <w:rPr>
                <w:color w:val="000000" w:themeColor="text1"/>
                <w:sz w:val="24"/>
                <w:szCs w:val="24"/>
              </w:rPr>
            </w:pPr>
            <w:r w:rsidRPr="00820D11">
              <w:rPr>
                <w:color w:val="000000" w:themeColor="text1"/>
                <w:sz w:val="24"/>
                <w:szCs w:val="24"/>
              </w:rPr>
              <w:t>‘Fully Accessible Route’ for Investment by Non-residents in Government Securities – Inclusion of Sovereign Green Bonds</w:t>
            </w:r>
          </w:p>
        </w:tc>
      </w:tr>
      <w:tr w:rsidR="00820D11" w:rsidTr="00166FBD">
        <w:tc>
          <w:tcPr>
            <w:tcW w:w="988" w:type="dxa"/>
          </w:tcPr>
          <w:p w:rsidR="00820D11" w:rsidRPr="00951F52" w:rsidRDefault="00820D11" w:rsidP="00166FBD">
            <w:r w:rsidRPr="00951F52">
              <w:t>6</w:t>
            </w:r>
          </w:p>
        </w:tc>
        <w:tc>
          <w:tcPr>
            <w:tcW w:w="8028" w:type="dxa"/>
          </w:tcPr>
          <w:p w:rsidR="00820D11" w:rsidRPr="00966B36" w:rsidRDefault="00820D11" w:rsidP="00166FBD">
            <w:pPr>
              <w:rPr>
                <w:color w:val="000000" w:themeColor="text1"/>
                <w:sz w:val="24"/>
                <w:szCs w:val="24"/>
              </w:rPr>
            </w:pPr>
            <w:r w:rsidRPr="00820D11">
              <w:rPr>
                <w:color w:val="000000" w:themeColor="text1"/>
                <w:sz w:val="24"/>
                <w:szCs w:val="24"/>
              </w:rPr>
              <w:t>Investments in Alternative Investment Funds (AIFs)</w:t>
            </w:r>
          </w:p>
        </w:tc>
      </w:tr>
      <w:tr w:rsidR="00820D11" w:rsidTr="00166FBD">
        <w:tc>
          <w:tcPr>
            <w:tcW w:w="988" w:type="dxa"/>
          </w:tcPr>
          <w:p w:rsidR="00820D11" w:rsidRPr="00951F52" w:rsidRDefault="00820D11" w:rsidP="00166FBD">
            <w:r w:rsidRPr="00951F52">
              <w:t>7</w:t>
            </w:r>
          </w:p>
        </w:tc>
        <w:tc>
          <w:tcPr>
            <w:tcW w:w="8028" w:type="dxa"/>
          </w:tcPr>
          <w:p w:rsidR="00820D11" w:rsidRPr="00966B36" w:rsidRDefault="00820D11" w:rsidP="00166FBD">
            <w:pPr>
              <w:rPr>
                <w:color w:val="000000" w:themeColor="text1"/>
                <w:sz w:val="24"/>
                <w:szCs w:val="24"/>
              </w:rPr>
            </w:pPr>
            <w:r w:rsidRPr="00820D11">
              <w:rPr>
                <w:color w:val="000000" w:themeColor="text1"/>
                <w:sz w:val="24"/>
                <w:szCs w:val="24"/>
              </w:rPr>
              <w:t>Reverse Repo transactions - Reporting in Form ‘A’ Return</w:t>
            </w:r>
          </w:p>
        </w:tc>
      </w:tr>
      <w:tr w:rsidR="00820D11" w:rsidTr="00166FBD">
        <w:tc>
          <w:tcPr>
            <w:tcW w:w="988" w:type="dxa"/>
          </w:tcPr>
          <w:p w:rsidR="00820D11" w:rsidRPr="00951F52" w:rsidRDefault="00820D11" w:rsidP="00166FBD">
            <w:r w:rsidRPr="00951F52">
              <w:t>8</w:t>
            </w:r>
          </w:p>
        </w:tc>
        <w:tc>
          <w:tcPr>
            <w:tcW w:w="8028" w:type="dxa"/>
          </w:tcPr>
          <w:p w:rsidR="00820D11" w:rsidRPr="00966B36" w:rsidRDefault="00820D11" w:rsidP="00166FBD">
            <w:pPr>
              <w:rPr>
                <w:color w:val="000000" w:themeColor="text1"/>
                <w:sz w:val="24"/>
                <w:szCs w:val="24"/>
              </w:rPr>
            </w:pPr>
            <w:r w:rsidRPr="00820D11">
              <w:rPr>
                <w:color w:val="000000" w:themeColor="text1"/>
                <w:sz w:val="24"/>
                <w:szCs w:val="24"/>
              </w:rPr>
              <w:t>Reserve Bank of India (Government Securities Lending) Directions, 2023</w:t>
            </w:r>
          </w:p>
        </w:tc>
      </w:tr>
      <w:tr w:rsidR="00820D11" w:rsidTr="00166FBD">
        <w:tc>
          <w:tcPr>
            <w:tcW w:w="988" w:type="dxa"/>
          </w:tcPr>
          <w:p w:rsidR="00820D11" w:rsidRPr="00951F52" w:rsidRDefault="00820D11" w:rsidP="00166FBD">
            <w:r>
              <w:t>9</w:t>
            </w:r>
          </w:p>
        </w:tc>
        <w:tc>
          <w:tcPr>
            <w:tcW w:w="8028" w:type="dxa"/>
          </w:tcPr>
          <w:p w:rsidR="00820D11" w:rsidRPr="00820D11" w:rsidRDefault="00820D11" w:rsidP="00166FBD">
            <w:pPr>
              <w:rPr>
                <w:color w:val="000000" w:themeColor="text1"/>
                <w:sz w:val="24"/>
                <w:szCs w:val="24"/>
              </w:rPr>
            </w:pPr>
            <w:r w:rsidRPr="00820D11">
              <w:rPr>
                <w:color w:val="000000" w:themeColor="text1"/>
                <w:sz w:val="24"/>
                <w:szCs w:val="24"/>
              </w:rPr>
              <w:t>Basel III Framework on Liquidity Standards – Net Stable Funding Ratio (NSFR) – Review of National Development Banks</w:t>
            </w:r>
          </w:p>
        </w:tc>
      </w:tr>
    </w:tbl>
    <w:p w:rsidR="00F32AEA" w:rsidRDefault="00E7135C"/>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 w:rsidR="00C65FDD" w:rsidRDefault="00C65FDD">
      <w:pPr>
        <w:rPr>
          <w:rFonts w:ascii="Arial" w:hAnsi="Arial" w:cs="Arial"/>
          <w:b/>
          <w:bCs/>
          <w:color w:val="000000"/>
          <w:sz w:val="20"/>
          <w:szCs w:val="20"/>
        </w:rPr>
      </w:pPr>
      <w:r>
        <w:rPr>
          <w:rFonts w:ascii="Arial" w:hAnsi="Arial" w:cs="Arial"/>
          <w:b/>
          <w:bCs/>
          <w:color w:val="000000"/>
          <w:sz w:val="20"/>
          <w:szCs w:val="20"/>
        </w:rPr>
        <w:lastRenderedPageBreak/>
        <w:t>Reserve Bank of India Act, 1934 - Section 42(1A) - Requirement for maintaining additional CRR</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RBI/2023-24/52</w:t>
      </w:r>
      <w:r>
        <w:rPr>
          <w:rFonts w:ascii="Arial" w:hAnsi="Arial" w:cs="Arial"/>
          <w:color w:val="000000"/>
          <w:sz w:val="20"/>
          <w:szCs w:val="20"/>
        </w:rPr>
        <w:br/>
        <w:t>DOR.RET.REC.29/12.01.001/2023-24</w:t>
      </w:r>
    </w:p>
    <w:p w:rsidR="00C65FDD" w:rsidRDefault="00C65FDD" w:rsidP="00C65FDD">
      <w:pPr>
        <w:pStyle w:val="NormalWeb"/>
        <w:jc w:val="right"/>
        <w:rPr>
          <w:rFonts w:ascii="Arial" w:hAnsi="Arial" w:cs="Arial"/>
          <w:color w:val="000000"/>
          <w:sz w:val="20"/>
          <w:szCs w:val="20"/>
        </w:rPr>
      </w:pPr>
      <w:r>
        <w:rPr>
          <w:rFonts w:ascii="Arial" w:hAnsi="Arial" w:cs="Arial"/>
          <w:color w:val="000000"/>
          <w:sz w:val="20"/>
          <w:szCs w:val="20"/>
        </w:rPr>
        <w:t>August 10, 2023</w:t>
      </w:r>
    </w:p>
    <w:p w:rsidR="00C65FDD" w:rsidRDefault="00C65FDD" w:rsidP="00C65FDD">
      <w:pPr>
        <w:pStyle w:val="NormalWeb"/>
        <w:rPr>
          <w:rFonts w:ascii="Arial" w:hAnsi="Arial" w:cs="Arial"/>
          <w:color w:val="000000"/>
          <w:sz w:val="20"/>
          <w:szCs w:val="20"/>
        </w:rPr>
      </w:pPr>
      <w:r>
        <w:rPr>
          <w:rFonts w:ascii="Arial" w:hAnsi="Arial" w:cs="Arial"/>
          <w:color w:val="000000"/>
          <w:sz w:val="20"/>
          <w:szCs w:val="20"/>
        </w:rPr>
        <w:t>The Chairperson / CEOs of all Scheduled Commercial Banks / Regional Rural Banks /</w:t>
      </w:r>
      <w:r>
        <w:rPr>
          <w:rFonts w:ascii="Arial" w:hAnsi="Arial" w:cs="Arial"/>
          <w:color w:val="000000"/>
          <w:sz w:val="20"/>
          <w:szCs w:val="20"/>
        </w:rPr>
        <w:br/>
        <w:t>All Scheduled Primary (Urban) Co-operative Banks / All Scheduled State Co-operative Banks</w:t>
      </w:r>
    </w:p>
    <w:p w:rsidR="00C65FDD" w:rsidRDefault="00C65FDD" w:rsidP="00C65FDD">
      <w:pPr>
        <w:pStyle w:val="NormalWeb"/>
        <w:rPr>
          <w:rFonts w:ascii="Arial" w:hAnsi="Arial" w:cs="Arial"/>
          <w:color w:val="000000"/>
          <w:sz w:val="20"/>
          <w:szCs w:val="20"/>
        </w:rPr>
      </w:pPr>
      <w:r>
        <w:rPr>
          <w:rFonts w:ascii="Arial" w:hAnsi="Arial" w:cs="Arial"/>
          <w:color w:val="000000"/>
          <w:sz w:val="20"/>
          <w:szCs w:val="20"/>
        </w:rPr>
        <w:t>Madam / Dear Sir,</w:t>
      </w:r>
    </w:p>
    <w:p w:rsidR="00C65FDD" w:rsidRDefault="00C65FDD" w:rsidP="00C65FDD">
      <w:pPr>
        <w:pStyle w:val="head"/>
        <w:jc w:val="both"/>
        <w:rPr>
          <w:rFonts w:ascii="Arial" w:hAnsi="Arial" w:cs="Arial"/>
          <w:b/>
          <w:bCs/>
          <w:color w:val="000000"/>
          <w:sz w:val="20"/>
          <w:szCs w:val="20"/>
        </w:rPr>
      </w:pPr>
      <w:r>
        <w:rPr>
          <w:rFonts w:ascii="Arial" w:hAnsi="Arial" w:cs="Arial"/>
          <w:b/>
          <w:bCs/>
          <w:color w:val="000000"/>
          <w:sz w:val="20"/>
          <w:szCs w:val="20"/>
        </w:rPr>
        <w:t>Reserve Bank of India Act, 1934 - Section 42(1A) - Requirement for maintaining additional CRR</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Under Section 42(1) of the Reserve Bank of India Act, 1934, all Scheduled Banks are required to maintain with Reserve Bank of India a Cash Reserve Ratio (CRR) of 4.50 per cent of Net Demand and Time Liabilities (NDTL).</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2. On a review of the current liquidity conditions, it has been decided to issue a directive under Section 42(1A) of the Reserve Bank of India Act, 1934 requiring all Scheduled Commercial Banks / Regional Rural Banks / all Scheduled Primary (Urban) Co-operative Banks / all Scheduled State Co-operative Banks to maintain with the Reserve Bank of India, effective from the fortnight beginning August 12, 2023, an incremental CRR (I-CRR) of 10 per cent on the increase in NDTL between May 19, 2023 and July 28, 2023. The I-CRR will be reviewed on September 8, 2023 or earlier.</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3. A copy of the relative notification DOR.RET.REC.30/12.01.001/2023-24 dated August 10, 2023 is </w:t>
      </w:r>
      <w:hyperlink r:id="rId5" w:anchor="AN1" w:history="1">
        <w:r>
          <w:rPr>
            <w:rStyle w:val="Hyperlink"/>
            <w:rFonts w:ascii="Arial" w:hAnsi="Arial" w:cs="Arial"/>
            <w:sz w:val="20"/>
            <w:szCs w:val="20"/>
          </w:rPr>
          <w:t>enclosed</w:t>
        </w:r>
      </w:hyperlink>
      <w:r>
        <w:rPr>
          <w:rFonts w:ascii="Arial" w:hAnsi="Arial" w:cs="Arial"/>
          <w:color w:val="000000"/>
          <w:sz w:val="20"/>
          <w:szCs w:val="20"/>
        </w:rPr>
        <w:t>.</w:t>
      </w:r>
    </w:p>
    <w:p w:rsidR="00C65FDD" w:rsidRDefault="00C65FDD" w:rsidP="00C65FDD">
      <w:pPr>
        <w:pStyle w:val="NormalWeb"/>
        <w:rPr>
          <w:rFonts w:ascii="Arial" w:hAnsi="Arial" w:cs="Arial"/>
          <w:color w:val="000000"/>
          <w:sz w:val="20"/>
          <w:szCs w:val="20"/>
        </w:rPr>
      </w:pPr>
      <w:r>
        <w:rPr>
          <w:rFonts w:ascii="Arial" w:hAnsi="Arial" w:cs="Arial"/>
          <w:color w:val="000000"/>
          <w:sz w:val="20"/>
          <w:szCs w:val="20"/>
        </w:rPr>
        <w:t>Yours faithfully,</w:t>
      </w:r>
    </w:p>
    <w:p w:rsidR="00C65FDD" w:rsidRDefault="00C65FDD" w:rsidP="00C65FD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Brij</w:t>
      </w:r>
      <w:proofErr w:type="spellEnd"/>
      <w:r>
        <w:rPr>
          <w:rFonts w:ascii="Arial" w:hAnsi="Arial" w:cs="Arial"/>
          <w:color w:val="000000"/>
          <w:sz w:val="20"/>
          <w:szCs w:val="20"/>
        </w:rPr>
        <w:t xml:space="preserve"> Raj)</w:t>
      </w:r>
      <w:r>
        <w:rPr>
          <w:rFonts w:ascii="Arial" w:hAnsi="Arial" w:cs="Arial"/>
          <w:color w:val="000000"/>
          <w:sz w:val="20"/>
          <w:szCs w:val="20"/>
        </w:rPr>
        <w:br/>
        <w:t>Chief General Manager</w:t>
      </w: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r w:rsidRPr="00C65FDD">
        <w:rPr>
          <w:rFonts w:ascii="Arial" w:hAnsi="Arial" w:cs="Arial"/>
          <w:color w:val="000000"/>
          <w:sz w:val="20"/>
          <w:szCs w:val="20"/>
        </w:rPr>
        <w:t>For more details, kindly refer:</w:t>
      </w:r>
      <w:r w:rsidRPr="00C65FDD">
        <w:t xml:space="preserve"> </w:t>
      </w:r>
      <w:hyperlink r:id="rId6" w:history="1">
        <w:r w:rsidRPr="00183748">
          <w:rPr>
            <w:rStyle w:val="Hyperlink"/>
            <w:rFonts w:ascii="Arial" w:hAnsi="Arial" w:cs="Arial"/>
            <w:sz w:val="20"/>
            <w:szCs w:val="20"/>
          </w:rPr>
          <w:t>https://www.rbi.org.in/Scripts/NotificationUser.aspx?Id=12526&amp;Mode=0</w:t>
        </w:r>
      </w:hyperlink>
      <w:r>
        <w:rPr>
          <w:rFonts w:ascii="Arial" w:hAnsi="Arial" w:cs="Arial"/>
          <w:color w:val="000000"/>
          <w:sz w:val="20"/>
          <w:szCs w:val="20"/>
        </w:rPr>
        <w:t xml:space="preserve"> </w:t>
      </w: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2023</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RBI/DOR/2023-24/104</w:t>
      </w:r>
      <w:r>
        <w:rPr>
          <w:rFonts w:ascii="Arial" w:hAnsi="Arial" w:cs="Arial"/>
          <w:color w:val="000000"/>
          <w:sz w:val="20"/>
          <w:szCs w:val="20"/>
        </w:rPr>
        <w:br/>
        <w:t>DOR.MRG.36/21.04.141/2023-24</w:t>
      </w:r>
    </w:p>
    <w:p w:rsidR="00C65FDD" w:rsidRDefault="00C65FDD" w:rsidP="00C65FDD">
      <w:pPr>
        <w:pStyle w:val="NormalWeb"/>
        <w:jc w:val="right"/>
        <w:rPr>
          <w:rFonts w:ascii="Arial" w:hAnsi="Arial" w:cs="Arial"/>
          <w:color w:val="000000"/>
          <w:sz w:val="20"/>
          <w:szCs w:val="20"/>
        </w:rPr>
      </w:pPr>
      <w:r>
        <w:rPr>
          <w:rFonts w:ascii="Arial" w:hAnsi="Arial" w:cs="Arial"/>
          <w:color w:val="000000"/>
          <w:sz w:val="20"/>
          <w:szCs w:val="20"/>
        </w:rPr>
        <w:t>September 12, 2023</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All Commercial Banks (excluding Regional Rural Banks)</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Dear Sir / Madam,</w:t>
      </w:r>
    </w:p>
    <w:p w:rsidR="00C65FDD" w:rsidRDefault="00C65FDD" w:rsidP="00C65FDD">
      <w:pPr>
        <w:pStyle w:val="head"/>
        <w:jc w:val="both"/>
        <w:rPr>
          <w:rFonts w:ascii="Arial" w:hAnsi="Arial" w:cs="Arial"/>
          <w:b/>
          <w:bCs/>
          <w:color w:val="000000"/>
          <w:sz w:val="20"/>
          <w:szCs w:val="20"/>
        </w:rPr>
      </w:pPr>
      <w:r>
        <w:rPr>
          <w:rFonts w:ascii="Arial" w:hAnsi="Arial" w:cs="Arial"/>
          <w:b/>
          <w:bCs/>
          <w:color w:val="000000"/>
          <w:sz w:val="20"/>
          <w:szCs w:val="20"/>
        </w:rPr>
        <w:t>Master Direction - Classification, Valuation and Operation of Investment Portfolio of Commercial Banks (Directions), 2023</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The extant regulatory instructions on classification and valuation of investment portfolio by commercial banks, as contained in the </w:t>
      </w:r>
      <w:hyperlink r:id="rId7" w:tgtFrame="_blank" w:history="1">
        <w:r>
          <w:rPr>
            <w:rStyle w:val="Hyperlink"/>
            <w:rFonts w:ascii="Arial" w:hAnsi="Arial" w:cs="Arial"/>
            <w:sz w:val="20"/>
            <w:szCs w:val="20"/>
          </w:rPr>
          <w:t>Reserve Bank of India (Classification, Valuation and Operation of Investment Portfolio of Commercial Banks) Directions, 2021</w:t>
        </w:r>
      </w:hyperlink>
      <w:r>
        <w:rPr>
          <w:rFonts w:ascii="Arial" w:hAnsi="Arial" w:cs="Arial"/>
          <w:color w:val="000000"/>
          <w:sz w:val="20"/>
          <w:szCs w:val="20"/>
        </w:rPr>
        <w:t>, are largely based on a framework introduced in October 2000 drawing upon the then prevailing global standards and best practices.</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2. In view of the significant developments in the global standards on classification, measurement and valuation of investments, the linkages with the capital adequacy framework as well as progress in the domestic financial markets, a need was felt to review and update these norms. Pursuant to the announcement made in the </w:t>
      </w:r>
      <w:hyperlink r:id="rId8" w:tgtFrame="_blank" w:history="1">
        <w:r>
          <w:rPr>
            <w:rStyle w:val="Hyperlink"/>
            <w:rFonts w:ascii="Arial" w:hAnsi="Arial" w:cs="Arial"/>
            <w:sz w:val="20"/>
            <w:szCs w:val="20"/>
          </w:rPr>
          <w:t>Statement on Developmental and Regulatory Policies dated December 8, 2021</w:t>
        </w:r>
      </w:hyperlink>
      <w:r>
        <w:rPr>
          <w:rFonts w:ascii="Arial" w:hAnsi="Arial" w:cs="Arial"/>
          <w:color w:val="000000"/>
          <w:sz w:val="20"/>
          <w:szCs w:val="20"/>
        </w:rPr>
        <w:t>, a </w:t>
      </w:r>
      <w:hyperlink r:id="rId9" w:tgtFrame="_blank" w:history="1">
        <w:r>
          <w:rPr>
            <w:rStyle w:val="Hyperlink"/>
            <w:rFonts w:ascii="Arial" w:hAnsi="Arial" w:cs="Arial"/>
            <w:sz w:val="20"/>
            <w:szCs w:val="20"/>
          </w:rPr>
          <w:t>discussion paper</w:t>
        </w:r>
      </w:hyperlink>
      <w:r>
        <w:rPr>
          <w:rFonts w:ascii="Arial" w:hAnsi="Arial" w:cs="Arial"/>
          <w:color w:val="000000"/>
          <w:sz w:val="20"/>
          <w:szCs w:val="20"/>
        </w:rPr>
        <w:t> on the subject was issued for public comments on January 14, 2022. Based on the inputs received, it has now been decided to put in place a revised regulatory framework for the investment portfolio.</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3. The revised framework updates the regulatory guidelines with global standards and best practices while introducing a symmetric treatment of fair value gains and losses, a clearly identifiable trading book under Held for Trading (HFT), removing the 90-day ceiling on holding period under HFT, removal of ceilings on Held to Maturity and more detailed disclosures on the investment portfolio. Further, to facilitate smooth implementation, </w:t>
      </w:r>
      <w:hyperlink r:id="rId10" w:tgtFrame="_blank" w:history="1">
        <w:r>
          <w:rPr>
            <w:rStyle w:val="Hyperlink"/>
            <w:rFonts w:ascii="Arial" w:hAnsi="Arial" w:cs="Arial"/>
            <w:sz w:val="20"/>
            <w:szCs w:val="20"/>
          </w:rPr>
          <w:t>illustrative guidance</w:t>
        </w:r>
      </w:hyperlink>
      <w:r>
        <w:rPr>
          <w:rFonts w:ascii="Arial" w:hAnsi="Arial" w:cs="Arial"/>
          <w:color w:val="000000"/>
          <w:sz w:val="20"/>
          <w:szCs w:val="20"/>
        </w:rPr>
        <w:t> has been developed on the revised framework and annexed to the Directions.</w:t>
      </w:r>
    </w:p>
    <w:p w:rsidR="00C65FDD" w:rsidRDefault="00C65FDD" w:rsidP="00C65FDD">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4. The revised framework as detailed in the Reserve Bank of India (Classification, Valuation and Operation of Investment Portfolio of Commercial Banks) Directions, 2023 </w:t>
      </w:r>
      <w:hyperlink r:id="rId11" w:anchor="MD" w:history="1">
        <w:r>
          <w:rPr>
            <w:rStyle w:val="Hyperlink"/>
            <w:rFonts w:ascii="Arial" w:hAnsi="Arial" w:cs="Arial"/>
            <w:sz w:val="20"/>
            <w:szCs w:val="20"/>
          </w:rPr>
          <w:t>annexed</w:t>
        </w:r>
      </w:hyperlink>
      <w:r>
        <w:rPr>
          <w:rFonts w:ascii="Arial" w:hAnsi="Arial" w:cs="Arial"/>
          <w:color w:val="000000"/>
          <w:sz w:val="20"/>
          <w:szCs w:val="20"/>
        </w:rPr>
        <w:t> hereto shall be applicable from April 1, 2024, to all Commercial Banks excluding Regional Rural Banks.</w:t>
      </w:r>
    </w:p>
    <w:p w:rsidR="00C65FDD" w:rsidRDefault="00C65FDD" w:rsidP="00C65FDD">
      <w:pPr>
        <w:pStyle w:val="NormalWeb"/>
        <w:jc w:val="both"/>
        <w:rPr>
          <w:rFonts w:ascii="Arial" w:hAnsi="Arial" w:cs="Arial"/>
          <w:color w:val="000000"/>
          <w:sz w:val="20"/>
          <w:szCs w:val="20"/>
        </w:rPr>
      </w:pPr>
      <w:r>
        <w:rPr>
          <w:rFonts w:ascii="Arial" w:hAnsi="Arial" w:cs="Arial"/>
          <w:color w:val="000000"/>
          <w:sz w:val="20"/>
          <w:szCs w:val="20"/>
        </w:rPr>
        <w:t>5. Reserve Bank of India is issuing these Directions in the exercise of its powers conferred under section 35A of the Banking Regulation Act, 1949, and all the powers enabling it on this behalf.</w:t>
      </w:r>
    </w:p>
    <w:p w:rsidR="00C65FDD" w:rsidRDefault="00C65FDD" w:rsidP="00C65FDD">
      <w:pPr>
        <w:pStyle w:val="NormalWeb"/>
        <w:rPr>
          <w:rFonts w:ascii="Arial" w:hAnsi="Arial" w:cs="Arial"/>
          <w:color w:val="000000"/>
          <w:sz w:val="20"/>
          <w:szCs w:val="20"/>
        </w:rPr>
      </w:pPr>
      <w:r>
        <w:rPr>
          <w:rFonts w:ascii="Arial" w:hAnsi="Arial" w:cs="Arial"/>
          <w:color w:val="000000"/>
          <w:sz w:val="20"/>
          <w:szCs w:val="20"/>
        </w:rPr>
        <w:t>Yours faithfully,</w:t>
      </w:r>
    </w:p>
    <w:p w:rsidR="00C65FDD" w:rsidRDefault="00C65FDD" w:rsidP="00C65FD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65FDD" w:rsidRDefault="00C65FDD" w:rsidP="00C65FDD">
      <w:pPr>
        <w:pStyle w:val="NormalWeb"/>
        <w:rPr>
          <w:rFonts w:ascii="Arial" w:hAnsi="Arial" w:cs="Arial"/>
          <w:color w:val="000000"/>
          <w:sz w:val="20"/>
          <w:szCs w:val="20"/>
        </w:rPr>
      </w:pPr>
      <w:r w:rsidRPr="00C65FDD">
        <w:rPr>
          <w:rFonts w:ascii="Arial" w:hAnsi="Arial" w:cs="Arial"/>
          <w:color w:val="000000"/>
          <w:sz w:val="20"/>
          <w:szCs w:val="20"/>
        </w:rPr>
        <w:t>For more details, kindly refer:</w:t>
      </w:r>
      <w:r>
        <w:rPr>
          <w:rFonts w:ascii="Arial" w:hAnsi="Arial" w:cs="Arial"/>
          <w:color w:val="000000"/>
          <w:sz w:val="20"/>
          <w:szCs w:val="20"/>
        </w:rPr>
        <w:t xml:space="preserve"> </w:t>
      </w:r>
      <w:hyperlink r:id="rId12" w:history="1">
        <w:r w:rsidRPr="00183748">
          <w:rPr>
            <w:rStyle w:val="Hyperlink"/>
            <w:rFonts w:ascii="Arial" w:hAnsi="Arial" w:cs="Arial"/>
            <w:sz w:val="20"/>
            <w:szCs w:val="20"/>
          </w:rPr>
          <w:t>https://www.rbi.org.in/Scripts/NotificationUser.aspx?Id=12534&amp;Mode=0</w:t>
        </w:r>
      </w:hyperlink>
      <w:r>
        <w:rPr>
          <w:rFonts w:ascii="Arial" w:hAnsi="Arial" w:cs="Arial"/>
          <w:color w:val="000000"/>
          <w:sz w:val="20"/>
          <w:szCs w:val="20"/>
        </w:rPr>
        <w:t xml:space="preserve"> </w:t>
      </w: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153762" w:rsidP="00C65FDD">
      <w:pPr>
        <w:pStyle w:val="NormalWeb"/>
        <w:rPr>
          <w:rFonts w:ascii="Arial" w:hAnsi="Arial" w:cs="Arial"/>
          <w:b/>
          <w:bCs/>
          <w:color w:val="000000"/>
          <w:sz w:val="20"/>
          <w:szCs w:val="20"/>
        </w:rPr>
      </w:pPr>
      <w:r>
        <w:rPr>
          <w:rFonts w:ascii="Arial" w:hAnsi="Arial" w:cs="Arial"/>
          <w:b/>
          <w:bCs/>
          <w:color w:val="000000"/>
          <w:sz w:val="20"/>
          <w:szCs w:val="20"/>
        </w:rPr>
        <w:lastRenderedPageBreak/>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DoR</w:t>
      </w:r>
      <w:proofErr w:type="spellEnd"/>
      <w:r>
        <w:rPr>
          <w:rFonts w:ascii="Arial" w:hAnsi="Arial" w:cs="Arial"/>
          <w:color w:val="000000"/>
          <w:sz w:val="20"/>
          <w:szCs w:val="20"/>
        </w:rPr>
        <w:t>/2023-24/105</w:t>
      </w:r>
      <w:r>
        <w:rPr>
          <w:rFonts w:ascii="Arial" w:hAnsi="Arial" w:cs="Arial"/>
          <w:color w:val="000000"/>
          <w:sz w:val="20"/>
          <w:szCs w:val="20"/>
        </w:rPr>
        <w:br/>
        <w:t>DoR.FIN.REC.40/01.02.000/2023-24</w:t>
      </w:r>
    </w:p>
    <w:p w:rsidR="00153762" w:rsidRDefault="00153762" w:rsidP="00153762">
      <w:pPr>
        <w:pStyle w:val="NormalWeb"/>
        <w:jc w:val="right"/>
        <w:rPr>
          <w:rFonts w:ascii="Arial" w:hAnsi="Arial" w:cs="Arial"/>
          <w:color w:val="000000"/>
          <w:sz w:val="20"/>
          <w:szCs w:val="20"/>
        </w:rPr>
      </w:pPr>
      <w:r>
        <w:rPr>
          <w:rFonts w:ascii="Arial" w:hAnsi="Arial" w:cs="Arial"/>
          <w:color w:val="000000"/>
          <w:sz w:val="20"/>
          <w:szCs w:val="20"/>
        </w:rPr>
        <w:t>September 21, 2023</w:t>
      </w:r>
    </w:p>
    <w:p w:rsidR="00153762" w:rsidRDefault="00153762" w:rsidP="00153762">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 45L of the Reserve Bank of India Act, 1934, the Reserve Bank of India (hereinafter called the Reserve Bank) being satisfied that it is necessary and expedient in the public interest and in the interest of financial sector policy so to do, hereby, issues the </w:t>
      </w:r>
      <w:hyperlink r:id="rId13" w:tgtFrame="_blank" w:history="1">
        <w:r>
          <w:rPr>
            <w:rStyle w:val="Hyperlink"/>
            <w:rFonts w:ascii="Arial" w:hAnsi="Arial" w:cs="Arial"/>
            <w:sz w:val="20"/>
            <w:szCs w:val="20"/>
          </w:rPr>
          <w:t>Directions</w:t>
        </w:r>
      </w:hyperlink>
      <w:r>
        <w:rPr>
          <w:rFonts w:ascii="Arial" w:hAnsi="Arial" w:cs="Arial"/>
          <w:color w:val="000000"/>
          <w:sz w:val="20"/>
          <w:szCs w:val="20"/>
        </w:rPr>
        <w:t> hereinafter specified.</w:t>
      </w:r>
    </w:p>
    <w:p w:rsidR="00153762" w:rsidRDefault="00153762" w:rsidP="00C65FDD">
      <w:pPr>
        <w:pStyle w:val="NormalWeb"/>
        <w:rPr>
          <w:rFonts w:ascii="Arial" w:hAnsi="Arial" w:cs="Arial"/>
          <w:color w:val="000000"/>
          <w:sz w:val="20"/>
          <w:szCs w:val="20"/>
        </w:rPr>
      </w:pPr>
      <w:r w:rsidRPr="00153762">
        <w:rPr>
          <w:rFonts w:ascii="Arial" w:hAnsi="Arial" w:cs="Arial"/>
          <w:color w:val="000000"/>
          <w:sz w:val="20"/>
          <w:szCs w:val="20"/>
        </w:rPr>
        <w:t>For more details, kindly refer:</w:t>
      </w:r>
      <w:r w:rsidRPr="00153762">
        <w:t xml:space="preserve"> </w:t>
      </w:r>
      <w:hyperlink r:id="rId14" w:history="1">
        <w:r w:rsidRPr="00183748">
          <w:rPr>
            <w:rStyle w:val="Hyperlink"/>
            <w:rFonts w:ascii="Arial" w:hAnsi="Arial" w:cs="Arial"/>
            <w:sz w:val="20"/>
            <w:szCs w:val="20"/>
          </w:rPr>
          <w:t>https://www.rbi.org.in/Scripts/NotificationUser.aspx?Id=12538&amp;Mode=0</w:t>
        </w:r>
      </w:hyperlink>
      <w:r>
        <w:rPr>
          <w:rFonts w:ascii="Arial" w:hAnsi="Arial" w:cs="Arial"/>
          <w:color w:val="000000"/>
          <w:sz w:val="20"/>
          <w:szCs w:val="20"/>
        </w:rPr>
        <w:t xml:space="preserve"> </w:t>
      </w: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b/>
          <w:bCs/>
          <w:color w:val="000000"/>
          <w:sz w:val="20"/>
          <w:szCs w:val="20"/>
        </w:rPr>
      </w:pPr>
      <w:r>
        <w:rPr>
          <w:rFonts w:ascii="Arial" w:hAnsi="Arial" w:cs="Arial"/>
          <w:b/>
          <w:bCs/>
          <w:color w:val="000000"/>
          <w:sz w:val="20"/>
          <w:szCs w:val="20"/>
        </w:rPr>
        <w:lastRenderedPageBreak/>
        <w:t>Reverse Repo transactions - Reporting in Form ‘A’ Return</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RBI/2023-24/68</w:t>
      </w:r>
      <w:r w:rsidRPr="00153762">
        <w:rPr>
          <w:rFonts w:ascii="Arial" w:eastAsia="Times New Roman" w:hAnsi="Arial" w:cs="Arial"/>
          <w:color w:val="000000"/>
          <w:sz w:val="20"/>
          <w:szCs w:val="20"/>
          <w:lang w:eastAsia="en-IN"/>
        </w:rPr>
        <w:br/>
        <w:t>DoR.RET.REC.43/12.01.001/2023-24</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October 16, 2023</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The Chairperson / CEOs of all Commercial Banks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Madam / Dear Sir,</w:t>
      </w:r>
    </w:p>
    <w:p w:rsidR="00153762" w:rsidRPr="00153762" w:rsidRDefault="00153762" w:rsidP="00153762">
      <w:pPr>
        <w:spacing w:before="100" w:beforeAutospacing="1" w:after="100" w:afterAutospacing="1" w:line="240" w:lineRule="auto"/>
        <w:jc w:val="both"/>
        <w:rPr>
          <w:rFonts w:ascii="Arial" w:eastAsia="Times New Roman" w:hAnsi="Arial" w:cs="Arial"/>
          <w:b/>
          <w:bCs/>
          <w:color w:val="000000"/>
          <w:sz w:val="20"/>
          <w:szCs w:val="20"/>
          <w:lang w:eastAsia="en-IN"/>
        </w:rPr>
      </w:pPr>
      <w:r w:rsidRPr="00153762">
        <w:rPr>
          <w:rFonts w:ascii="Arial" w:eastAsia="Times New Roman" w:hAnsi="Arial" w:cs="Arial"/>
          <w:b/>
          <w:bCs/>
          <w:color w:val="000000"/>
          <w:sz w:val="20"/>
          <w:szCs w:val="20"/>
          <w:lang w:eastAsia="en-IN"/>
        </w:rPr>
        <w:t>Reverse Repo transactions - Reporting in Form ‘A’ Return</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Please refer to Form A Return in the </w:t>
      </w:r>
      <w:hyperlink r:id="rId15" w:tgtFrame="_blank" w:history="1">
        <w:r w:rsidRPr="00153762">
          <w:rPr>
            <w:rFonts w:ascii="Arial" w:eastAsia="Times New Roman" w:hAnsi="Arial" w:cs="Arial"/>
            <w:color w:val="0000FF"/>
            <w:sz w:val="20"/>
            <w:szCs w:val="20"/>
            <w:u w:val="single"/>
            <w:lang w:eastAsia="en-IN"/>
          </w:rPr>
          <w:t>Master Direction - Reserve Bank of India [Cash Reserve Ratio (CRR) and Statutory Liquidity Ratio (SLR)] Directions - 2021</w:t>
        </w:r>
      </w:hyperlink>
      <w:r w:rsidRPr="00153762">
        <w:rPr>
          <w:rFonts w:ascii="Arial" w:eastAsia="Times New Roman" w:hAnsi="Arial" w:cs="Arial"/>
          <w:color w:val="000000"/>
          <w:sz w:val="20"/>
          <w:szCs w:val="20"/>
          <w:lang w:eastAsia="en-IN"/>
        </w:rPr>
        <w:t> (updated as on September 25, 2023) regarding the reporting of Reverse Repo transactions by Commercial Banks.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 xml:space="preserve">2. In order to bring uniformity in reporting of Reverse Repo transactions in the Form </w:t>
      </w:r>
      <w:proofErr w:type="gramStart"/>
      <w:r w:rsidRPr="00153762">
        <w:rPr>
          <w:rFonts w:ascii="Arial" w:eastAsia="Times New Roman" w:hAnsi="Arial" w:cs="Arial"/>
          <w:color w:val="000000"/>
          <w:sz w:val="20"/>
          <w:szCs w:val="20"/>
          <w:lang w:eastAsia="en-IN"/>
        </w:rPr>
        <w:t>A</w:t>
      </w:r>
      <w:proofErr w:type="gramEnd"/>
      <w:r w:rsidRPr="00153762">
        <w:rPr>
          <w:rFonts w:ascii="Arial" w:eastAsia="Times New Roman" w:hAnsi="Arial" w:cs="Arial"/>
          <w:color w:val="000000"/>
          <w:sz w:val="20"/>
          <w:szCs w:val="20"/>
          <w:lang w:eastAsia="en-IN"/>
        </w:rPr>
        <w:t xml:space="preserve"> Return by various banks, it is clarified that the banks should adhere to the following practice for presentation of Reverse Repo transactions in the above return:</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A. Reverse Repo transactions with the banks should be reported as under:</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153762">
        <w:rPr>
          <w:rFonts w:ascii="Arial" w:eastAsia="Times New Roman" w:hAnsi="Arial" w:cs="Arial"/>
          <w:color w:val="000000"/>
          <w:sz w:val="20"/>
          <w:szCs w:val="20"/>
          <w:lang w:eastAsia="en-IN"/>
        </w:rPr>
        <w:t>i</w:t>
      </w:r>
      <w:proofErr w:type="spellEnd"/>
      <w:r w:rsidRPr="00153762">
        <w:rPr>
          <w:rFonts w:ascii="Arial" w:eastAsia="Times New Roman" w:hAnsi="Arial" w:cs="Arial"/>
          <w:color w:val="000000"/>
          <w:sz w:val="20"/>
          <w:szCs w:val="20"/>
          <w:lang w:eastAsia="en-IN"/>
        </w:rPr>
        <w:t>. For original tenors up to and inclusive of 14 days</w:t>
      </w:r>
    </w:p>
    <w:p w:rsidR="00153762" w:rsidRPr="00153762" w:rsidRDefault="00153762" w:rsidP="00153762">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Item III(b) of Form A (i.e. Money at call and short notice) and;</w:t>
      </w:r>
    </w:p>
    <w:p w:rsidR="00153762" w:rsidRPr="00153762" w:rsidRDefault="00153762" w:rsidP="00153762">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Memo item 2.1 of Annex A to Form A (i.e. under Inter Bank Assets)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ii. For original tenors more than 14 days</w:t>
      </w:r>
    </w:p>
    <w:p w:rsidR="00153762" w:rsidRPr="00153762" w:rsidRDefault="00153762" w:rsidP="00153762">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Item III(c) of Form A (i.e. Advances to banks) and;</w:t>
      </w:r>
    </w:p>
    <w:p w:rsidR="00153762" w:rsidRPr="00153762" w:rsidRDefault="00153762" w:rsidP="00153762">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Memo item 2.1 and 2.2 of Annex A to Form A (i.e. under Inter Bank Assets)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B. Reverse Repo transactions with non-banks (other institutions) for all tenors should be reported under Item VI(a) of Form A [i.e. Loans, cash credits and overdrafts under Bank Credit in India (excluding inter-bank advances)].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Yours faithfully,</w:t>
      </w: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w:t>
      </w:r>
      <w:proofErr w:type="spellStart"/>
      <w:r w:rsidRPr="00153762">
        <w:rPr>
          <w:rFonts w:ascii="Arial" w:eastAsia="Times New Roman" w:hAnsi="Arial" w:cs="Arial"/>
          <w:color w:val="000000"/>
          <w:sz w:val="20"/>
          <w:szCs w:val="20"/>
          <w:lang w:eastAsia="en-IN"/>
        </w:rPr>
        <w:t>Brij</w:t>
      </w:r>
      <w:proofErr w:type="spellEnd"/>
      <w:r w:rsidRPr="00153762">
        <w:rPr>
          <w:rFonts w:ascii="Arial" w:eastAsia="Times New Roman" w:hAnsi="Arial" w:cs="Arial"/>
          <w:color w:val="000000"/>
          <w:sz w:val="20"/>
          <w:szCs w:val="20"/>
          <w:lang w:eastAsia="en-IN"/>
        </w:rPr>
        <w:t xml:space="preserve"> Raj)</w:t>
      </w:r>
      <w:r w:rsidRPr="00153762">
        <w:rPr>
          <w:rFonts w:ascii="Arial" w:eastAsia="Times New Roman" w:hAnsi="Arial" w:cs="Arial"/>
          <w:color w:val="000000"/>
          <w:sz w:val="20"/>
          <w:szCs w:val="20"/>
          <w:lang w:eastAsia="en-IN"/>
        </w:rPr>
        <w:br/>
        <w:t>Chief General Manager</w:t>
      </w: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For more details, kindly refer:</w:t>
      </w:r>
      <w:r w:rsidRPr="00153762">
        <w:t xml:space="preserve"> </w:t>
      </w:r>
      <w:hyperlink r:id="rId16" w:history="1">
        <w:r w:rsidRPr="00183748">
          <w:rPr>
            <w:rStyle w:val="Hyperlink"/>
            <w:rFonts w:ascii="Arial" w:eastAsia="Times New Roman" w:hAnsi="Arial" w:cs="Arial"/>
            <w:sz w:val="20"/>
            <w:szCs w:val="20"/>
            <w:lang w:eastAsia="en-IN"/>
          </w:rPr>
          <w:t>https://www.rbi.org.in/Scripts/NotificationUser.aspx?Id=12548&amp;Mode=0</w:t>
        </w:r>
      </w:hyperlink>
      <w:r>
        <w:rPr>
          <w:rFonts w:ascii="Arial" w:eastAsia="Times New Roman" w:hAnsi="Arial" w:cs="Arial"/>
          <w:color w:val="000000"/>
          <w:sz w:val="20"/>
          <w:szCs w:val="20"/>
          <w:lang w:eastAsia="en-IN"/>
        </w:rPr>
        <w:t xml:space="preserve"> </w:t>
      </w: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153762">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‘Fully Accessible Route’ for Investment by Non-residents in Government Securities – Inclusion of Sovereign Green Bonds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RBI/2023-24/81</w:t>
      </w:r>
      <w:r w:rsidRPr="00153762">
        <w:rPr>
          <w:rFonts w:ascii="Arial" w:eastAsia="Times New Roman" w:hAnsi="Arial" w:cs="Arial"/>
          <w:color w:val="000000"/>
          <w:sz w:val="20"/>
          <w:szCs w:val="20"/>
          <w:lang w:eastAsia="en-IN"/>
        </w:rPr>
        <w:br/>
      </w:r>
      <w:proofErr w:type="spellStart"/>
      <w:r w:rsidRPr="00153762">
        <w:rPr>
          <w:rFonts w:ascii="Arial" w:eastAsia="Times New Roman" w:hAnsi="Arial" w:cs="Arial"/>
          <w:color w:val="000000"/>
          <w:sz w:val="20"/>
          <w:szCs w:val="20"/>
          <w:lang w:eastAsia="en-IN"/>
        </w:rPr>
        <w:t>FMRD.FMID.No</w:t>
      </w:r>
      <w:proofErr w:type="spellEnd"/>
      <w:r w:rsidRPr="00153762">
        <w:rPr>
          <w:rFonts w:ascii="Arial" w:eastAsia="Times New Roman" w:hAnsi="Arial" w:cs="Arial"/>
          <w:color w:val="000000"/>
          <w:sz w:val="20"/>
          <w:szCs w:val="20"/>
          <w:lang w:eastAsia="en-IN"/>
        </w:rPr>
        <w:t>. 04/14.01.006/2023-24</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November 08, 2023</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To</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All participants in Government Securities market</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Madam/Sir,</w:t>
      </w:r>
    </w:p>
    <w:p w:rsidR="00153762" w:rsidRPr="00153762" w:rsidRDefault="00153762" w:rsidP="00153762">
      <w:pPr>
        <w:spacing w:before="100" w:beforeAutospacing="1" w:after="100" w:afterAutospacing="1" w:line="240" w:lineRule="auto"/>
        <w:jc w:val="both"/>
        <w:rPr>
          <w:rFonts w:ascii="Arial" w:eastAsia="Times New Roman" w:hAnsi="Arial" w:cs="Arial"/>
          <w:b/>
          <w:bCs/>
          <w:color w:val="000000"/>
          <w:sz w:val="20"/>
          <w:szCs w:val="20"/>
          <w:lang w:eastAsia="en-IN"/>
        </w:rPr>
      </w:pPr>
      <w:r w:rsidRPr="00153762">
        <w:rPr>
          <w:rFonts w:ascii="Arial" w:eastAsia="Times New Roman" w:hAnsi="Arial" w:cs="Arial"/>
          <w:b/>
          <w:bCs/>
          <w:color w:val="000000"/>
          <w:sz w:val="20"/>
          <w:szCs w:val="20"/>
          <w:lang w:eastAsia="en-IN"/>
        </w:rPr>
        <w:t>‘Fully Accessible Route’ for Investment by Non-residents in Government Securities – Inclusion of Sovereign Green Bonds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A reference is invited to the </w:t>
      </w:r>
      <w:hyperlink r:id="rId17" w:tgtFrame="_blank" w:history="1">
        <w:r w:rsidRPr="00153762">
          <w:rPr>
            <w:rFonts w:ascii="Arial" w:eastAsia="Times New Roman" w:hAnsi="Arial" w:cs="Arial"/>
            <w:color w:val="0000FF"/>
            <w:sz w:val="20"/>
            <w:szCs w:val="20"/>
            <w:u w:val="single"/>
            <w:lang w:eastAsia="en-IN"/>
          </w:rPr>
          <w:t>Press Release on ‘Issuance Calendar for Marketable Dated Securities for October 2023 - March 2024’ dated September 26, 2023</w:t>
        </w:r>
      </w:hyperlink>
      <w:r w:rsidRPr="00153762">
        <w:rPr>
          <w:rFonts w:ascii="Arial" w:eastAsia="Times New Roman" w:hAnsi="Arial" w:cs="Arial"/>
          <w:color w:val="000000"/>
          <w:sz w:val="20"/>
          <w:szCs w:val="20"/>
          <w:lang w:eastAsia="en-IN"/>
        </w:rPr>
        <w:t>, issued by the Reserve Bank, notifying, inter alia, the issuance calendar for Sovereign Green Bonds for the fiscal year 2023-24. Attention is also invited to the Fully Accessible Route (FAR) introduced by the Reserve Bank, vide </w:t>
      </w:r>
      <w:hyperlink r:id="rId18" w:tgtFrame="_blank" w:history="1">
        <w:r w:rsidRPr="00153762">
          <w:rPr>
            <w:rFonts w:ascii="Arial" w:eastAsia="Times New Roman" w:hAnsi="Arial" w:cs="Arial"/>
            <w:color w:val="0000FF"/>
            <w:sz w:val="20"/>
            <w:szCs w:val="20"/>
            <w:u w:val="single"/>
            <w:lang w:eastAsia="en-IN"/>
          </w:rPr>
          <w:t>A.P. (DIR Series) Circular No. 25 dated March 30, 2020</w:t>
        </w:r>
      </w:hyperlink>
      <w:r w:rsidRPr="00153762">
        <w:rPr>
          <w:rFonts w:ascii="Arial" w:eastAsia="Times New Roman" w:hAnsi="Arial" w:cs="Arial"/>
          <w:color w:val="000000"/>
          <w:sz w:val="20"/>
          <w:szCs w:val="20"/>
          <w:lang w:eastAsia="en-IN"/>
        </w:rPr>
        <w:t>, wherein certain specified categories of Central Government securities were opened fully for non-resident investors without any restrictions, apart from being available to domestic investors as well.</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2. The Government Securities that are eligible for investment under the FAR (‘specified securities’) were notified by the Bank, vide </w:t>
      </w:r>
      <w:hyperlink r:id="rId19" w:tgtFrame="_blank" w:history="1">
        <w:r w:rsidRPr="00153762">
          <w:rPr>
            <w:rFonts w:ascii="Arial" w:eastAsia="Times New Roman" w:hAnsi="Arial" w:cs="Arial"/>
            <w:color w:val="0000FF"/>
            <w:sz w:val="20"/>
            <w:szCs w:val="20"/>
            <w:u w:val="single"/>
            <w:lang w:eastAsia="en-IN"/>
          </w:rPr>
          <w:t>circular no. FMRD.FMSD.No.25/14.01.006/2019-20 dated March 30, 2020</w:t>
        </w:r>
      </w:hyperlink>
      <w:r w:rsidRPr="00153762">
        <w:rPr>
          <w:rFonts w:ascii="Arial" w:eastAsia="Times New Roman" w:hAnsi="Arial" w:cs="Arial"/>
          <w:color w:val="000000"/>
          <w:sz w:val="20"/>
          <w:szCs w:val="20"/>
          <w:lang w:eastAsia="en-IN"/>
        </w:rPr>
        <w:t>, </w:t>
      </w:r>
      <w:hyperlink r:id="rId20" w:tgtFrame="_blank" w:history="1">
        <w:r w:rsidRPr="00153762">
          <w:rPr>
            <w:rFonts w:ascii="Arial" w:eastAsia="Times New Roman" w:hAnsi="Arial" w:cs="Arial"/>
            <w:color w:val="0000FF"/>
            <w:sz w:val="20"/>
            <w:szCs w:val="20"/>
            <w:u w:val="single"/>
            <w:lang w:eastAsia="en-IN"/>
          </w:rPr>
          <w:t>circular no. FMRD.FMID.No.04/14.01.006/2022-23 dated July 07, 2022</w:t>
        </w:r>
      </w:hyperlink>
      <w:r w:rsidRPr="00153762">
        <w:rPr>
          <w:rFonts w:ascii="Arial" w:eastAsia="Times New Roman" w:hAnsi="Arial" w:cs="Arial"/>
          <w:color w:val="000000"/>
          <w:sz w:val="20"/>
          <w:szCs w:val="20"/>
          <w:lang w:eastAsia="en-IN"/>
        </w:rPr>
        <w:t> and </w:t>
      </w:r>
      <w:hyperlink r:id="rId21" w:tgtFrame="_blank" w:history="1">
        <w:r w:rsidRPr="00153762">
          <w:rPr>
            <w:rFonts w:ascii="Arial" w:eastAsia="Times New Roman" w:hAnsi="Arial" w:cs="Arial"/>
            <w:color w:val="0000FF"/>
            <w:sz w:val="20"/>
            <w:szCs w:val="20"/>
            <w:u w:val="single"/>
            <w:lang w:eastAsia="en-IN"/>
          </w:rPr>
          <w:t xml:space="preserve">circular no. </w:t>
        </w:r>
        <w:proofErr w:type="spellStart"/>
        <w:r w:rsidRPr="00153762">
          <w:rPr>
            <w:rFonts w:ascii="Arial" w:eastAsia="Times New Roman" w:hAnsi="Arial" w:cs="Arial"/>
            <w:color w:val="0000FF"/>
            <w:sz w:val="20"/>
            <w:szCs w:val="20"/>
            <w:u w:val="single"/>
            <w:lang w:eastAsia="en-IN"/>
          </w:rPr>
          <w:t>FMRD.FMID.No</w:t>
        </w:r>
        <w:proofErr w:type="spellEnd"/>
        <w:r w:rsidRPr="00153762">
          <w:rPr>
            <w:rFonts w:ascii="Arial" w:eastAsia="Times New Roman" w:hAnsi="Arial" w:cs="Arial"/>
            <w:color w:val="0000FF"/>
            <w:sz w:val="20"/>
            <w:szCs w:val="20"/>
            <w:u w:val="single"/>
            <w:lang w:eastAsia="en-IN"/>
          </w:rPr>
          <w:t>. 07/14.01.006/2022-23 dated January 23, 2023</w:t>
        </w:r>
      </w:hyperlink>
      <w:r w:rsidRPr="00153762">
        <w:rPr>
          <w:rFonts w:ascii="Arial" w:eastAsia="Times New Roman" w:hAnsi="Arial" w:cs="Arial"/>
          <w:color w:val="000000"/>
          <w:sz w:val="20"/>
          <w:szCs w:val="20"/>
          <w:lang w:eastAsia="en-IN"/>
        </w:rPr>
        <w:t>.</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3. It has now been decided to also designate all Sovereign Green Bonds issued by the Government in the fiscal year 2023-24 as ‘specified securities’ under the FAR.</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4. The Directions contained in this circular have been issued under Section 45W of Chapter IIID of the Reserve Bank of India Act, 1934 and are without prejudice to permissions/ approvals, if any, required under any other law.</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5. These Directions shall be applicable with immediate effect.</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Yours faithfully,</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 xml:space="preserve">(Dimple </w:t>
      </w:r>
      <w:proofErr w:type="spellStart"/>
      <w:r w:rsidRPr="00153762">
        <w:rPr>
          <w:rFonts w:ascii="Arial" w:eastAsia="Times New Roman" w:hAnsi="Arial" w:cs="Arial"/>
          <w:color w:val="000000"/>
          <w:sz w:val="20"/>
          <w:szCs w:val="20"/>
          <w:lang w:eastAsia="en-IN"/>
        </w:rPr>
        <w:t>Bhandia</w:t>
      </w:r>
      <w:proofErr w:type="spellEnd"/>
      <w:r w:rsidRPr="00153762">
        <w:rPr>
          <w:rFonts w:ascii="Arial" w:eastAsia="Times New Roman" w:hAnsi="Arial" w:cs="Arial"/>
          <w:color w:val="000000"/>
          <w:sz w:val="20"/>
          <w:szCs w:val="20"/>
          <w:lang w:eastAsia="en-IN"/>
        </w:rPr>
        <w:t>)</w:t>
      </w:r>
      <w:r w:rsidRPr="00153762">
        <w:rPr>
          <w:rFonts w:ascii="Arial" w:eastAsia="Times New Roman" w:hAnsi="Arial" w:cs="Arial"/>
          <w:color w:val="000000"/>
          <w:sz w:val="20"/>
          <w:szCs w:val="20"/>
          <w:lang w:eastAsia="en-IN"/>
        </w:rPr>
        <w:br/>
        <w:t>Chief General Manager</w:t>
      </w:r>
    </w:p>
    <w:p w:rsid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For more details, kindly refer:</w:t>
      </w:r>
      <w:r w:rsidRPr="00153762">
        <w:t xml:space="preserve"> </w:t>
      </w:r>
      <w:hyperlink r:id="rId22" w:history="1">
        <w:r w:rsidRPr="00183748">
          <w:rPr>
            <w:rStyle w:val="Hyperlink"/>
            <w:rFonts w:ascii="Arial" w:eastAsia="Times New Roman" w:hAnsi="Arial" w:cs="Arial"/>
            <w:sz w:val="20"/>
            <w:szCs w:val="20"/>
            <w:lang w:eastAsia="en-IN"/>
          </w:rPr>
          <w:t>https://www.rbi.org.in/Scripts/NotificationUser.aspx?Id=12563&amp;Mode=0</w:t>
        </w:r>
      </w:hyperlink>
      <w:r>
        <w:rPr>
          <w:rFonts w:ascii="Arial" w:eastAsia="Times New Roman" w:hAnsi="Arial" w:cs="Arial"/>
          <w:color w:val="000000"/>
          <w:sz w:val="20"/>
          <w:szCs w:val="20"/>
          <w:lang w:eastAsia="en-IN"/>
        </w:rPr>
        <w:t xml:space="preserve"> </w:t>
      </w:r>
    </w:p>
    <w:p w:rsidR="00153762" w:rsidRPr="00153762" w:rsidRDefault="00153762" w:rsidP="00153762">
      <w:pPr>
        <w:spacing w:before="100" w:beforeAutospacing="1" w:after="100" w:afterAutospacing="1" w:line="240" w:lineRule="auto"/>
        <w:rPr>
          <w:rFonts w:ascii="Arial" w:eastAsia="Times New Roman" w:hAnsi="Arial" w:cs="Arial"/>
          <w:color w:val="000000"/>
          <w:sz w:val="20"/>
          <w:szCs w:val="20"/>
          <w:lang w:eastAsia="en-IN"/>
        </w:rPr>
      </w:pPr>
    </w:p>
    <w:p w:rsidR="00153762" w:rsidRDefault="00153762"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153762" w:rsidP="00C65FDD">
      <w:pPr>
        <w:pStyle w:val="NormalWeb"/>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RBI/2023-24/90</w:t>
      </w:r>
      <w:r w:rsidRPr="00153762">
        <w:rPr>
          <w:rFonts w:ascii="Arial" w:eastAsia="Times New Roman" w:hAnsi="Arial" w:cs="Arial"/>
          <w:color w:val="000000"/>
          <w:sz w:val="20"/>
          <w:szCs w:val="20"/>
          <w:lang w:eastAsia="en-IN"/>
        </w:rPr>
        <w:br/>
        <w:t>DOR.STR.REC.58/21.04.048/2023-24</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December 19, 2023</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All Commercial Banks (including Small Finance Banks, Local Area Banks and Regional Rural Banks)</w:t>
      </w:r>
      <w:r w:rsidRPr="00153762">
        <w:rPr>
          <w:rFonts w:ascii="Arial" w:eastAsia="Times New Roman" w:hAnsi="Arial" w:cs="Arial"/>
          <w:color w:val="000000"/>
          <w:sz w:val="20"/>
          <w:szCs w:val="20"/>
          <w:lang w:eastAsia="en-IN"/>
        </w:rPr>
        <w:br/>
        <w:t>All Primary (Urban) Co-operative Banks/State Co-operative Banks/ Central Co-operative Banks</w:t>
      </w:r>
      <w:r w:rsidRPr="00153762">
        <w:rPr>
          <w:rFonts w:ascii="Arial" w:eastAsia="Times New Roman" w:hAnsi="Arial" w:cs="Arial"/>
          <w:color w:val="000000"/>
          <w:sz w:val="20"/>
          <w:szCs w:val="20"/>
          <w:lang w:eastAsia="en-IN"/>
        </w:rPr>
        <w:br/>
        <w:t>All All-India Financial Institutions</w:t>
      </w:r>
      <w:r w:rsidRPr="00153762">
        <w:rPr>
          <w:rFonts w:ascii="Arial" w:eastAsia="Times New Roman" w:hAnsi="Arial" w:cs="Arial"/>
          <w:color w:val="000000"/>
          <w:sz w:val="20"/>
          <w:szCs w:val="20"/>
          <w:lang w:eastAsia="en-IN"/>
        </w:rPr>
        <w:br/>
        <w:t>All Non-Banking Financial Companies (including Housing Finance Companies)</w:t>
      </w:r>
    </w:p>
    <w:p w:rsidR="00153762" w:rsidRPr="00153762" w:rsidRDefault="00153762" w:rsidP="00153762">
      <w:pPr>
        <w:spacing w:before="100" w:beforeAutospacing="1" w:after="100" w:afterAutospacing="1" w:line="240" w:lineRule="auto"/>
        <w:jc w:val="both"/>
        <w:rPr>
          <w:rFonts w:ascii="Arial" w:eastAsia="Times New Roman" w:hAnsi="Arial" w:cs="Arial"/>
          <w:b/>
          <w:bCs/>
          <w:color w:val="000000"/>
          <w:sz w:val="20"/>
          <w:szCs w:val="20"/>
          <w:lang w:eastAsia="en-IN"/>
        </w:rPr>
      </w:pPr>
      <w:r w:rsidRPr="00153762">
        <w:rPr>
          <w:rFonts w:ascii="Arial" w:eastAsia="Times New Roman" w:hAnsi="Arial" w:cs="Arial"/>
          <w:b/>
          <w:bCs/>
          <w:color w:val="000000"/>
          <w:sz w:val="20"/>
          <w:szCs w:val="20"/>
          <w:lang w:eastAsia="en-IN"/>
        </w:rPr>
        <w:t>Investments in Alternative Investment Funds (AIFs)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Regulated entities (REs) make investments in units of AIFs as part of their regular investment operations. However, certain transactions of REs involving AIFs that raise regulatory concerns have come to our notice. These transactions entail substitution of direct loan exposure of REs to borrowers, with indirect exposure through investments in units of AIFs.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 xml:space="preserve">2. In order to address concerns relating to possible </w:t>
      </w:r>
      <w:proofErr w:type="spellStart"/>
      <w:r w:rsidRPr="00153762">
        <w:rPr>
          <w:rFonts w:ascii="Arial" w:eastAsia="Times New Roman" w:hAnsi="Arial" w:cs="Arial"/>
          <w:color w:val="000000"/>
          <w:sz w:val="20"/>
          <w:szCs w:val="20"/>
          <w:lang w:eastAsia="en-IN"/>
        </w:rPr>
        <w:t>evergreening</w:t>
      </w:r>
      <w:proofErr w:type="spellEnd"/>
      <w:r w:rsidRPr="00153762">
        <w:rPr>
          <w:rFonts w:ascii="Arial" w:eastAsia="Times New Roman" w:hAnsi="Arial" w:cs="Arial"/>
          <w:color w:val="000000"/>
          <w:sz w:val="20"/>
          <w:szCs w:val="20"/>
          <w:lang w:eastAsia="en-IN"/>
        </w:rPr>
        <w:t xml:space="preserve"> through this route, it is advised as under:</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w:t>
      </w:r>
      <w:proofErr w:type="spellStart"/>
      <w:r w:rsidRPr="00153762">
        <w:rPr>
          <w:rFonts w:ascii="Arial" w:eastAsia="Times New Roman" w:hAnsi="Arial" w:cs="Arial"/>
          <w:color w:val="000000"/>
          <w:sz w:val="20"/>
          <w:szCs w:val="20"/>
          <w:lang w:eastAsia="en-IN"/>
        </w:rPr>
        <w:t>i</w:t>
      </w:r>
      <w:proofErr w:type="spellEnd"/>
      <w:r w:rsidRPr="00153762">
        <w:rPr>
          <w:rFonts w:ascii="Arial" w:eastAsia="Times New Roman" w:hAnsi="Arial" w:cs="Arial"/>
          <w:color w:val="000000"/>
          <w:sz w:val="20"/>
          <w:szCs w:val="20"/>
          <w:lang w:eastAsia="en-IN"/>
        </w:rPr>
        <w:t>) REs shall not make investments in any scheme of AIFs which has downstream investments either directly or indirectly in a debtor company of the RE.</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Explanation: The debtor company of the RE, for this purpose, shall mean any company to which the RE currently has or previously had a loan or investment exposure anytime during the preceding 12 months.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(ii) If an AIF scheme, in which RE is already an investor, makes a downstream investment in any such debtor company, then the RE shall liquidate its investment in the scheme within 30 days from the date of such downstream investment by the AIF. If REs have already invested into such schemes having downstream investment in their debtor companies as on date, the 30-day period for liquidation shall be counted from date of issuance of this circular. REs shall forthwith arrange to advise the AIFs suitably in the matter.</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(iii) In case REs are not able to liquidate their investments within the above-prescribed time limit, they shall make 100 percent provision on such investments.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3. In addition, investment by REs in the subordinated units of any AIF scheme with a ‘priority distribution model’ shall be subject to full deduction from RE’s capital funds.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Explanation: ‘Priority distribution model’ shall have the same meaning as specified in the SEBI circular SEBI/HO/AFD-1/</w:t>
      </w:r>
      <w:proofErr w:type="spellStart"/>
      <w:r w:rsidRPr="00153762">
        <w:rPr>
          <w:rFonts w:ascii="Arial" w:eastAsia="Times New Roman" w:hAnsi="Arial" w:cs="Arial"/>
          <w:color w:val="000000"/>
          <w:sz w:val="20"/>
          <w:szCs w:val="20"/>
          <w:lang w:eastAsia="en-IN"/>
        </w:rPr>
        <w:t>PoD</w:t>
      </w:r>
      <w:proofErr w:type="spellEnd"/>
      <w:r w:rsidRPr="00153762">
        <w:rPr>
          <w:rFonts w:ascii="Arial" w:eastAsia="Times New Roman" w:hAnsi="Arial" w:cs="Arial"/>
          <w:color w:val="000000"/>
          <w:sz w:val="20"/>
          <w:szCs w:val="20"/>
          <w:lang w:eastAsia="en-IN"/>
        </w:rPr>
        <w:t>/P/CIR/2022/157 dated November 23, 2022.</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4. These instructions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5. The above instructions shall become effective immediately.</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Yours faithfully,</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w:t>
      </w:r>
      <w:proofErr w:type="spellStart"/>
      <w:r w:rsidRPr="00153762">
        <w:rPr>
          <w:rFonts w:ascii="Arial" w:eastAsia="Times New Roman" w:hAnsi="Arial" w:cs="Arial"/>
          <w:color w:val="000000"/>
          <w:sz w:val="20"/>
          <w:szCs w:val="20"/>
          <w:lang w:eastAsia="en-IN"/>
        </w:rPr>
        <w:t>Vaibhav</w:t>
      </w:r>
      <w:proofErr w:type="spellEnd"/>
      <w:r w:rsidRPr="00153762">
        <w:rPr>
          <w:rFonts w:ascii="Arial" w:eastAsia="Times New Roman" w:hAnsi="Arial" w:cs="Arial"/>
          <w:color w:val="000000"/>
          <w:sz w:val="20"/>
          <w:szCs w:val="20"/>
          <w:lang w:eastAsia="en-IN"/>
        </w:rPr>
        <w:t xml:space="preserve"> </w:t>
      </w:r>
      <w:proofErr w:type="spellStart"/>
      <w:r w:rsidRPr="00153762">
        <w:rPr>
          <w:rFonts w:ascii="Arial" w:eastAsia="Times New Roman" w:hAnsi="Arial" w:cs="Arial"/>
          <w:color w:val="000000"/>
          <w:sz w:val="20"/>
          <w:szCs w:val="20"/>
          <w:lang w:eastAsia="en-IN"/>
        </w:rPr>
        <w:t>Chaturvedi</w:t>
      </w:r>
      <w:proofErr w:type="spellEnd"/>
      <w:r w:rsidRPr="00153762">
        <w:rPr>
          <w:rFonts w:ascii="Arial" w:eastAsia="Times New Roman" w:hAnsi="Arial" w:cs="Arial"/>
          <w:color w:val="000000"/>
          <w:sz w:val="20"/>
          <w:szCs w:val="20"/>
          <w:lang w:eastAsia="en-IN"/>
        </w:rPr>
        <w:t>)</w:t>
      </w:r>
      <w:r w:rsidRPr="00153762">
        <w:rPr>
          <w:rFonts w:ascii="Arial" w:eastAsia="Times New Roman" w:hAnsi="Arial" w:cs="Arial"/>
          <w:color w:val="000000"/>
          <w:sz w:val="20"/>
          <w:szCs w:val="20"/>
          <w:lang w:eastAsia="en-IN"/>
        </w:rPr>
        <w:br/>
        <w:t>Chief General Manager</w:t>
      </w:r>
    </w:p>
    <w:p w:rsidR="00153762" w:rsidRDefault="00153762" w:rsidP="00C65FDD">
      <w:pPr>
        <w:pStyle w:val="NormalWeb"/>
        <w:rPr>
          <w:rFonts w:ascii="Arial" w:hAnsi="Arial" w:cs="Arial"/>
          <w:color w:val="000000"/>
          <w:sz w:val="20"/>
          <w:szCs w:val="20"/>
        </w:rPr>
      </w:pPr>
      <w:r w:rsidRPr="00153762">
        <w:rPr>
          <w:rFonts w:ascii="Arial" w:hAnsi="Arial" w:cs="Arial"/>
          <w:color w:val="000000"/>
          <w:sz w:val="20"/>
          <w:szCs w:val="20"/>
        </w:rPr>
        <w:lastRenderedPageBreak/>
        <w:t>For more details, kindly refer:</w:t>
      </w:r>
      <w:r w:rsidRPr="00153762">
        <w:t xml:space="preserve"> </w:t>
      </w:r>
      <w:hyperlink r:id="rId23" w:history="1">
        <w:r w:rsidRPr="00183748">
          <w:rPr>
            <w:rStyle w:val="Hyperlink"/>
            <w:rFonts w:ascii="Arial" w:hAnsi="Arial" w:cs="Arial"/>
            <w:sz w:val="20"/>
            <w:szCs w:val="20"/>
          </w:rPr>
          <w:t>https://www.rbi.org.in/Scripts/NotificationUser.aspx?Id=12572&amp;Mode=0</w:t>
        </w:r>
      </w:hyperlink>
      <w:r>
        <w:rPr>
          <w:rFonts w:ascii="Arial" w:hAnsi="Arial" w:cs="Arial"/>
          <w:color w:val="000000"/>
          <w:sz w:val="20"/>
          <w:szCs w:val="20"/>
        </w:rPr>
        <w:t xml:space="preserve"> </w:t>
      </w: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153762" w:rsidRDefault="00153762" w:rsidP="00C65FDD">
      <w:pPr>
        <w:pStyle w:val="NormalWeb"/>
        <w:rPr>
          <w:rFonts w:ascii="Arial" w:hAnsi="Arial" w:cs="Arial"/>
          <w:b/>
          <w:bCs/>
          <w:color w:val="000000"/>
          <w:sz w:val="20"/>
          <w:szCs w:val="20"/>
        </w:rPr>
      </w:pPr>
      <w:r>
        <w:rPr>
          <w:rFonts w:ascii="Arial" w:hAnsi="Arial" w:cs="Arial"/>
          <w:b/>
          <w:bCs/>
          <w:color w:val="000000"/>
          <w:sz w:val="20"/>
          <w:szCs w:val="20"/>
        </w:rPr>
        <w:lastRenderedPageBreak/>
        <w:t>Reverse Repo transactions - Reporting in Form ‘A’ Return</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RBI/2023-24/92</w:t>
      </w:r>
      <w:r>
        <w:rPr>
          <w:rFonts w:ascii="Arial" w:hAnsi="Arial" w:cs="Arial"/>
          <w:color w:val="000000"/>
          <w:sz w:val="20"/>
          <w:szCs w:val="20"/>
        </w:rPr>
        <w:br/>
        <w:t>DoR.RET.REC.59/12.01.001/2023-24</w:t>
      </w:r>
    </w:p>
    <w:p w:rsidR="00153762" w:rsidRDefault="00153762" w:rsidP="00153762">
      <w:pPr>
        <w:pStyle w:val="NormalWeb"/>
        <w:jc w:val="right"/>
        <w:rPr>
          <w:rFonts w:ascii="Arial" w:hAnsi="Arial" w:cs="Arial"/>
          <w:color w:val="000000"/>
          <w:sz w:val="20"/>
          <w:szCs w:val="20"/>
        </w:rPr>
      </w:pPr>
      <w:r>
        <w:rPr>
          <w:rFonts w:ascii="Arial" w:hAnsi="Arial" w:cs="Arial"/>
          <w:color w:val="000000"/>
          <w:sz w:val="20"/>
          <w:szCs w:val="20"/>
        </w:rPr>
        <w:t>December 22, 2023</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The Chairperson / CEOs of all Commercial Banks</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Madam / Dear Sir,</w:t>
      </w:r>
    </w:p>
    <w:p w:rsidR="00153762" w:rsidRDefault="00153762" w:rsidP="00153762">
      <w:pPr>
        <w:pStyle w:val="head"/>
        <w:jc w:val="both"/>
        <w:rPr>
          <w:rFonts w:ascii="Arial" w:hAnsi="Arial" w:cs="Arial"/>
          <w:b/>
          <w:bCs/>
          <w:color w:val="000000"/>
          <w:sz w:val="20"/>
          <w:szCs w:val="20"/>
        </w:rPr>
      </w:pPr>
      <w:r>
        <w:rPr>
          <w:rFonts w:ascii="Arial" w:hAnsi="Arial" w:cs="Arial"/>
          <w:b/>
          <w:bCs/>
          <w:color w:val="000000"/>
          <w:sz w:val="20"/>
          <w:szCs w:val="20"/>
        </w:rPr>
        <w:t>Reverse Repo transactions - Reporting in Form ‘A’ Return</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4" w:tgtFrame="_blank" w:history="1">
        <w:r>
          <w:rPr>
            <w:rStyle w:val="Hyperlink"/>
            <w:rFonts w:ascii="Arial" w:hAnsi="Arial" w:cs="Arial"/>
            <w:sz w:val="20"/>
            <w:szCs w:val="20"/>
          </w:rPr>
          <w:t>circular DoR.RET.REC.43/12.01.001/2023-24 dated October 16, 2023</w:t>
        </w:r>
      </w:hyperlink>
      <w:r>
        <w:rPr>
          <w:rFonts w:ascii="Arial" w:hAnsi="Arial" w:cs="Arial"/>
          <w:color w:val="000000"/>
          <w:sz w:val="20"/>
          <w:szCs w:val="20"/>
        </w:rPr>
        <w:t> on the captioned subject.</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2. On a review, it has been decided to revise the instructions contained in Para B of the above circular. Accordingly, the Reverse Repo transactions of a bank with non-banks (other institutions) should be reported as under:</w:t>
      </w:r>
    </w:p>
    <w:p w:rsidR="00153762" w:rsidRDefault="00153762" w:rsidP="00153762">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For original tenors up to and inclusive of 14 days - Not required to be reported in Form A.</w:t>
      </w:r>
    </w:p>
    <w:p w:rsidR="00153762" w:rsidRDefault="00153762" w:rsidP="00153762">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For original tenors more than 14 days - Item VI(a) of Form A [i.e. Loans, cash credits and overdrafts under Bank Credit in India (excluding inter-bank advances)]</w:t>
      </w:r>
    </w:p>
    <w:p w:rsidR="00153762" w:rsidRDefault="00153762" w:rsidP="00153762">
      <w:pPr>
        <w:pStyle w:val="NormalWeb"/>
        <w:jc w:val="both"/>
        <w:rPr>
          <w:rFonts w:ascii="Arial" w:hAnsi="Arial" w:cs="Arial"/>
          <w:color w:val="000000"/>
          <w:sz w:val="20"/>
          <w:szCs w:val="20"/>
        </w:rPr>
      </w:pPr>
      <w:r>
        <w:rPr>
          <w:rFonts w:ascii="Arial" w:hAnsi="Arial" w:cs="Arial"/>
          <w:color w:val="000000"/>
          <w:sz w:val="20"/>
          <w:szCs w:val="20"/>
        </w:rPr>
        <w:t>3. All other instructions specified in the above </w:t>
      </w:r>
      <w:hyperlink r:id="rId25" w:tgtFrame="_blank" w:history="1">
        <w:r>
          <w:rPr>
            <w:rStyle w:val="Hyperlink"/>
            <w:rFonts w:ascii="Arial" w:hAnsi="Arial" w:cs="Arial"/>
            <w:sz w:val="20"/>
            <w:szCs w:val="20"/>
          </w:rPr>
          <w:t>circular dated October 16, 2023</w:t>
        </w:r>
      </w:hyperlink>
      <w:r>
        <w:rPr>
          <w:rFonts w:ascii="Arial" w:hAnsi="Arial" w:cs="Arial"/>
          <w:color w:val="000000"/>
          <w:sz w:val="20"/>
          <w:szCs w:val="20"/>
        </w:rPr>
        <w:t> remain unchanged.</w:t>
      </w:r>
    </w:p>
    <w:p w:rsidR="00153762" w:rsidRDefault="00153762" w:rsidP="00153762">
      <w:pPr>
        <w:pStyle w:val="NormalWeb"/>
        <w:rPr>
          <w:rFonts w:ascii="Arial" w:hAnsi="Arial" w:cs="Arial"/>
          <w:color w:val="000000"/>
          <w:sz w:val="20"/>
          <w:szCs w:val="20"/>
        </w:rPr>
      </w:pPr>
      <w:r>
        <w:rPr>
          <w:rFonts w:ascii="Arial" w:hAnsi="Arial" w:cs="Arial"/>
          <w:color w:val="000000"/>
          <w:sz w:val="20"/>
          <w:szCs w:val="20"/>
        </w:rPr>
        <w:t>Yours faithfully,</w:t>
      </w:r>
    </w:p>
    <w:p w:rsidR="00153762" w:rsidRDefault="00153762" w:rsidP="0015376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Brij</w:t>
      </w:r>
      <w:proofErr w:type="spellEnd"/>
      <w:r>
        <w:rPr>
          <w:rFonts w:ascii="Arial" w:hAnsi="Arial" w:cs="Arial"/>
          <w:color w:val="000000"/>
          <w:sz w:val="20"/>
          <w:szCs w:val="20"/>
        </w:rPr>
        <w:t xml:space="preserve"> Raj)</w:t>
      </w:r>
      <w:r>
        <w:rPr>
          <w:rFonts w:ascii="Arial" w:hAnsi="Arial" w:cs="Arial"/>
          <w:color w:val="000000"/>
          <w:sz w:val="20"/>
          <w:szCs w:val="20"/>
        </w:rPr>
        <w:br/>
        <w:t>Chief General Manager</w:t>
      </w: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r w:rsidRPr="00153762">
        <w:rPr>
          <w:rFonts w:ascii="Arial" w:hAnsi="Arial" w:cs="Arial"/>
          <w:color w:val="000000"/>
          <w:sz w:val="20"/>
          <w:szCs w:val="20"/>
        </w:rPr>
        <w:t>For more details, kindly refer:</w:t>
      </w:r>
      <w:r w:rsidRPr="00153762">
        <w:t xml:space="preserve"> </w:t>
      </w:r>
      <w:hyperlink r:id="rId26" w:history="1">
        <w:r w:rsidRPr="00183748">
          <w:rPr>
            <w:rStyle w:val="Hyperlink"/>
            <w:rFonts w:ascii="Arial" w:hAnsi="Arial" w:cs="Arial"/>
            <w:sz w:val="20"/>
            <w:szCs w:val="20"/>
          </w:rPr>
          <w:t>https://www.rbi.org.in/Scripts/NotificationUser.aspx?Id=12574&amp;Mode=0</w:t>
        </w:r>
      </w:hyperlink>
      <w:r>
        <w:rPr>
          <w:rFonts w:ascii="Arial" w:hAnsi="Arial" w:cs="Arial"/>
          <w:color w:val="000000"/>
          <w:sz w:val="20"/>
          <w:szCs w:val="20"/>
        </w:rPr>
        <w:t xml:space="preserve"> </w:t>
      </w: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b/>
          <w:bCs/>
          <w:color w:val="000000"/>
          <w:sz w:val="20"/>
          <w:szCs w:val="20"/>
        </w:rPr>
      </w:pPr>
      <w:r>
        <w:rPr>
          <w:rFonts w:ascii="Arial" w:hAnsi="Arial" w:cs="Arial"/>
          <w:b/>
          <w:bCs/>
          <w:color w:val="000000"/>
          <w:sz w:val="20"/>
          <w:szCs w:val="20"/>
        </w:rPr>
        <w:lastRenderedPageBreak/>
        <w:t>Reserve Bank of India (Government Securities Lending) Directions, 2023</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RBI/2023-24/97</w:t>
      </w:r>
      <w:r w:rsidRPr="00153762">
        <w:rPr>
          <w:rFonts w:ascii="Arial" w:eastAsia="Times New Roman" w:hAnsi="Arial" w:cs="Arial"/>
          <w:color w:val="000000"/>
          <w:sz w:val="20"/>
          <w:szCs w:val="20"/>
          <w:lang w:eastAsia="en-IN"/>
        </w:rPr>
        <w:br/>
        <w:t>FMRD.DIRD.No.05/14.03.061/2023-2024</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December 27, 2023</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All participants in Government Securities market</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Madam/Sir,</w:t>
      </w:r>
    </w:p>
    <w:p w:rsidR="00153762" w:rsidRPr="00153762" w:rsidRDefault="00153762" w:rsidP="00153762">
      <w:pPr>
        <w:spacing w:before="100" w:beforeAutospacing="1" w:after="100" w:afterAutospacing="1" w:line="240" w:lineRule="auto"/>
        <w:jc w:val="center"/>
        <w:rPr>
          <w:rFonts w:ascii="Arial" w:eastAsia="Times New Roman" w:hAnsi="Arial" w:cs="Arial"/>
          <w:b/>
          <w:bCs/>
          <w:color w:val="000000"/>
          <w:sz w:val="20"/>
          <w:szCs w:val="20"/>
          <w:lang w:eastAsia="en-IN"/>
        </w:rPr>
      </w:pPr>
      <w:r w:rsidRPr="00153762">
        <w:rPr>
          <w:rFonts w:ascii="Arial" w:eastAsia="Times New Roman" w:hAnsi="Arial" w:cs="Arial"/>
          <w:b/>
          <w:bCs/>
          <w:color w:val="000000"/>
          <w:sz w:val="20"/>
          <w:szCs w:val="20"/>
          <w:lang w:eastAsia="en-IN"/>
        </w:rPr>
        <w:t>Reserve Bank of India (Government Securities Lending) Directions, 2023</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Please refer to paragraph 1 of the </w:t>
      </w:r>
      <w:hyperlink r:id="rId27" w:tgtFrame="_blank" w:history="1">
        <w:r w:rsidRPr="00153762">
          <w:rPr>
            <w:rFonts w:ascii="Arial" w:eastAsia="Times New Roman" w:hAnsi="Arial" w:cs="Arial"/>
            <w:color w:val="0000FF"/>
            <w:sz w:val="20"/>
            <w:szCs w:val="20"/>
            <w:u w:val="single"/>
            <w:lang w:eastAsia="en-IN"/>
          </w:rPr>
          <w:t>Statement on Developmental and Regulatory Policies</w:t>
        </w:r>
      </w:hyperlink>
      <w:r w:rsidRPr="00153762">
        <w:rPr>
          <w:rFonts w:ascii="Arial" w:eastAsia="Times New Roman" w:hAnsi="Arial" w:cs="Arial"/>
          <w:color w:val="000000"/>
          <w:sz w:val="20"/>
          <w:szCs w:val="20"/>
          <w:lang w:eastAsia="en-IN"/>
        </w:rPr>
        <w:t>, issued as a part of the </w:t>
      </w:r>
      <w:hyperlink r:id="rId28" w:tgtFrame="_blank" w:history="1">
        <w:r w:rsidRPr="00153762">
          <w:rPr>
            <w:rFonts w:ascii="Arial" w:eastAsia="Times New Roman" w:hAnsi="Arial" w:cs="Arial"/>
            <w:color w:val="0000FF"/>
            <w:sz w:val="20"/>
            <w:szCs w:val="20"/>
            <w:u w:val="single"/>
            <w:lang w:eastAsia="en-IN"/>
          </w:rPr>
          <w:t>Bi-monthly Monetary Policy Statement for 2022-23 dated February 08, 2023</w:t>
        </w:r>
      </w:hyperlink>
      <w:r w:rsidRPr="00153762">
        <w:rPr>
          <w:rFonts w:ascii="Arial" w:eastAsia="Times New Roman" w:hAnsi="Arial" w:cs="Arial"/>
          <w:color w:val="000000"/>
          <w:sz w:val="20"/>
          <w:szCs w:val="20"/>
          <w:lang w:eastAsia="en-IN"/>
        </w:rPr>
        <w:t> on introduction of Securities Lending and Borrowing in Government Securities. In pursuance of the announcement, the </w:t>
      </w:r>
      <w:hyperlink r:id="rId29" w:tgtFrame="_blank" w:history="1">
        <w:r w:rsidRPr="00153762">
          <w:rPr>
            <w:rFonts w:ascii="Arial" w:eastAsia="Times New Roman" w:hAnsi="Arial" w:cs="Arial"/>
            <w:color w:val="0000FF"/>
            <w:sz w:val="20"/>
            <w:szCs w:val="20"/>
            <w:u w:val="single"/>
            <w:lang w:eastAsia="en-IN"/>
          </w:rPr>
          <w:t>Draft Reserve Bank of India (Government Securities Lending) Directions, 2023</w:t>
        </w:r>
      </w:hyperlink>
      <w:r w:rsidRPr="00153762">
        <w:rPr>
          <w:rFonts w:ascii="Arial" w:eastAsia="Times New Roman" w:hAnsi="Arial" w:cs="Arial"/>
          <w:color w:val="000000"/>
          <w:sz w:val="20"/>
          <w:szCs w:val="20"/>
          <w:lang w:eastAsia="en-IN"/>
        </w:rPr>
        <w:t> were placed on the Reserve Bank’s website, on February 17, 2023, to invite comments from banks, market participants and other interested parties.</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2. Based on the comments received, </w:t>
      </w:r>
      <w:hyperlink r:id="rId30" w:anchor="Directions" w:history="1">
        <w:r w:rsidRPr="00153762">
          <w:rPr>
            <w:rFonts w:ascii="Arial" w:eastAsia="Times New Roman" w:hAnsi="Arial" w:cs="Arial"/>
            <w:color w:val="0000FF"/>
            <w:sz w:val="20"/>
            <w:szCs w:val="20"/>
            <w:u w:val="single"/>
            <w:lang w:eastAsia="en-IN"/>
          </w:rPr>
          <w:t>the Directions</w:t>
        </w:r>
      </w:hyperlink>
      <w:r w:rsidRPr="00153762">
        <w:rPr>
          <w:rFonts w:ascii="Arial" w:eastAsia="Times New Roman" w:hAnsi="Arial" w:cs="Arial"/>
          <w:color w:val="000000"/>
          <w:sz w:val="20"/>
          <w:szCs w:val="20"/>
          <w:lang w:eastAsia="en-IN"/>
        </w:rPr>
        <w:t> have been finalized and are being issued herewith.</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3. These Directions have been issued in exercise of the powers conferred under section 45W of the Reserve Bank of India Act, 1934 read with section 45U of the Act and of all the powers enabling it in this behalf.</w:t>
      </w:r>
    </w:p>
    <w:p w:rsidR="00153762" w:rsidRPr="00153762" w:rsidRDefault="00153762" w:rsidP="00153762">
      <w:pPr>
        <w:spacing w:before="100" w:beforeAutospacing="1" w:after="100" w:afterAutospacing="1" w:line="240" w:lineRule="auto"/>
        <w:jc w:val="both"/>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4. These Directions shall come into immediate effect.</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Yours faithfully,</w:t>
      </w:r>
    </w:p>
    <w:p w:rsidR="00153762" w:rsidRPr="00153762" w:rsidRDefault="00153762" w:rsidP="00153762">
      <w:pPr>
        <w:spacing w:before="100" w:beforeAutospacing="1" w:after="100" w:afterAutospacing="1" w:line="240" w:lineRule="auto"/>
        <w:jc w:val="right"/>
        <w:rPr>
          <w:rFonts w:ascii="Arial" w:eastAsia="Times New Roman" w:hAnsi="Arial" w:cs="Arial"/>
          <w:color w:val="000000"/>
          <w:sz w:val="20"/>
          <w:szCs w:val="20"/>
          <w:lang w:eastAsia="en-IN"/>
        </w:rPr>
      </w:pPr>
      <w:r w:rsidRPr="00153762">
        <w:rPr>
          <w:rFonts w:ascii="Arial" w:eastAsia="Times New Roman" w:hAnsi="Arial" w:cs="Arial"/>
          <w:color w:val="000000"/>
          <w:sz w:val="20"/>
          <w:szCs w:val="20"/>
          <w:lang w:eastAsia="en-IN"/>
        </w:rPr>
        <w:t xml:space="preserve">(Dimple </w:t>
      </w:r>
      <w:proofErr w:type="spellStart"/>
      <w:r w:rsidRPr="00153762">
        <w:rPr>
          <w:rFonts w:ascii="Arial" w:eastAsia="Times New Roman" w:hAnsi="Arial" w:cs="Arial"/>
          <w:color w:val="000000"/>
          <w:sz w:val="20"/>
          <w:szCs w:val="20"/>
          <w:lang w:eastAsia="en-IN"/>
        </w:rPr>
        <w:t>Bhandia</w:t>
      </w:r>
      <w:proofErr w:type="spellEnd"/>
      <w:r w:rsidRPr="00153762">
        <w:rPr>
          <w:rFonts w:ascii="Arial" w:eastAsia="Times New Roman" w:hAnsi="Arial" w:cs="Arial"/>
          <w:color w:val="000000"/>
          <w:sz w:val="20"/>
          <w:szCs w:val="20"/>
          <w:lang w:eastAsia="en-IN"/>
        </w:rPr>
        <w:t>)</w:t>
      </w:r>
      <w:r w:rsidRPr="00153762">
        <w:rPr>
          <w:rFonts w:ascii="Arial" w:eastAsia="Times New Roman" w:hAnsi="Arial" w:cs="Arial"/>
          <w:color w:val="000000"/>
          <w:sz w:val="20"/>
          <w:szCs w:val="20"/>
          <w:lang w:eastAsia="en-IN"/>
        </w:rPr>
        <w:br/>
        <w:t>Chief General Manager</w:t>
      </w: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r w:rsidRPr="00153762">
        <w:rPr>
          <w:rFonts w:ascii="Arial" w:hAnsi="Arial" w:cs="Arial"/>
          <w:color w:val="000000"/>
          <w:sz w:val="20"/>
          <w:szCs w:val="20"/>
        </w:rPr>
        <w:t>For more details, kindly refer:</w:t>
      </w:r>
      <w:r w:rsidRPr="00153762">
        <w:t xml:space="preserve"> </w:t>
      </w:r>
      <w:hyperlink r:id="rId31" w:history="1">
        <w:r w:rsidRPr="00183748">
          <w:rPr>
            <w:rStyle w:val="Hyperlink"/>
            <w:rFonts w:ascii="Arial" w:hAnsi="Arial" w:cs="Arial"/>
            <w:sz w:val="20"/>
            <w:szCs w:val="20"/>
          </w:rPr>
          <w:t>https://www.rbi.org.in/Scripts/NotificationUser.aspx?Id=12580&amp;Mode=0</w:t>
        </w:r>
      </w:hyperlink>
      <w:r>
        <w:rPr>
          <w:rFonts w:ascii="Arial" w:hAnsi="Arial" w:cs="Arial"/>
          <w:color w:val="000000"/>
          <w:sz w:val="20"/>
          <w:szCs w:val="20"/>
        </w:rPr>
        <w:t xml:space="preserve"> </w:t>
      </w: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153762" w:rsidP="00153762">
      <w:pPr>
        <w:pStyle w:val="NormalWeb"/>
        <w:rPr>
          <w:rFonts w:ascii="Arial" w:hAnsi="Arial" w:cs="Arial"/>
          <w:color w:val="000000"/>
          <w:sz w:val="20"/>
          <w:szCs w:val="20"/>
        </w:rPr>
      </w:pPr>
    </w:p>
    <w:p w:rsidR="00153762" w:rsidRDefault="00E7135C" w:rsidP="00153762">
      <w:pPr>
        <w:pStyle w:val="NormalWeb"/>
        <w:rPr>
          <w:rFonts w:ascii="Arial" w:hAnsi="Arial" w:cs="Arial"/>
          <w:b/>
          <w:bCs/>
          <w:color w:val="000000"/>
          <w:sz w:val="20"/>
          <w:szCs w:val="20"/>
        </w:rPr>
      </w:pPr>
      <w:r>
        <w:rPr>
          <w:rFonts w:ascii="Arial" w:hAnsi="Arial" w:cs="Arial"/>
          <w:b/>
          <w:bCs/>
          <w:color w:val="000000"/>
          <w:sz w:val="20"/>
          <w:szCs w:val="20"/>
        </w:rPr>
        <w:lastRenderedPageBreak/>
        <w:t>Basel III Framework on Liquidity Standards – Net Stable Funding Ratio (NSFR) – Review of National Development Banks</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RBI/2023-24/103</w:t>
      </w:r>
      <w:r w:rsidRPr="00E7135C">
        <w:rPr>
          <w:rFonts w:ascii="Arial" w:eastAsia="Times New Roman" w:hAnsi="Arial" w:cs="Arial"/>
          <w:color w:val="000000"/>
          <w:sz w:val="20"/>
          <w:szCs w:val="20"/>
          <w:lang w:eastAsia="en-IN"/>
        </w:rPr>
        <w:br/>
        <w:t>DOR.LRG.REC.62/03.10.001/2023-24</w:t>
      </w:r>
    </w:p>
    <w:p w:rsidR="00E7135C" w:rsidRPr="00E7135C" w:rsidRDefault="00E7135C" w:rsidP="00E7135C">
      <w:pPr>
        <w:spacing w:before="100" w:beforeAutospacing="1" w:after="100" w:afterAutospacing="1" w:line="240" w:lineRule="auto"/>
        <w:jc w:val="right"/>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December 29, 2023</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Madam / Dear Sir,</w:t>
      </w:r>
    </w:p>
    <w:p w:rsidR="00E7135C" w:rsidRPr="00E7135C" w:rsidRDefault="00E7135C" w:rsidP="00E7135C">
      <w:pPr>
        <w:spacing w:before="100" w:beforeAutospacing="1" w:after="100" w:afterAutospacing="1" w:line="240" w:lineRule="auto"/>
        <w:jc w:val="both"/>
        <w:rPr>
          <w:rFonts w:ascii="Arial" w:eastAsia="Times New Roman" w:hAnsi="Arial" w:cs="Arial"/>
          <w:b/>
          <w:bCs/>
          <w:color w:val="000000"/>
          <w:sz w:val="20"/>
          <w:szCs w:val="20"/>
          <w:lang w:eastAsia="en-IN"/>
        </w:rPr>
      </w:pPr>
      <w:r w:rsidRPr="00E7135C">
        <w:rPr>
          <w:rFonts w:ascii="Arial" w:eastAsia="Times New Roman" w:hAnsi="Arial" w:cs="Arial"/>
          <w:b/>
          <w:bCs/>
          <w:color w:val="000000"/>
          <w:sz w:val="20"/>
          <w:szCs w:val="20"/>
          <w:lang w:eastAsia="en-IN"/>
        </w:rPr>
        <w:t>Basel III Framework on Liquidity Standards – Net Stable Funding Ratio (NSFR) – Review of National Development Banks</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Please refer to circular </w:t>
      </w:r>
      <w:hyperlink r:id="rId32" w:tgtFrame="_blank" w:history="1">
        <w:r w:rsidRPr="00E7135C">
          <w:rPr>
            <w:rFonts w:ascii="Arial" w:eastAsia="Times New Roman" w:hAnsi="Arial" w:cs="Arial"/>
            <w:color w:val="0000FF"/>
            <w:sz w:val="20"/>
            <w:szCs w:val="20"/>
            <w:u w:val="single"/>
            <w:lang w:eastAsia="en-IN"/>
          </w:rPr>
          <w:t>DBR.BP.BC.No.106/21.04.098/2017-18 dated May 17, 2018</w:t>
        </w:r>
      </w:hyperlink>
      <w:r w:rsidRPr="00E7135C">
        <w:rPr>
          <w:rFonts w:ascii="Arial" w:eastAsia="Times New Roman" w:hAnsi="Arial" w:cs="Arial"/>
          <w:color w:val="000000"/>
          <w:sz w:val="20"/>
          <w:szCs w:val="20"/>
          <w:lang w:eastAsia="en-IN"/>
        </w:rPr>
        <w:t> on Basel III Framework on Liquidity Standards - Net Stable Funding Ratio (NSFR) – Final Guidelines.</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2. NABARD, NHB and SIDBI are considered as National Development Banks (NDBs) under the extant NSFR framework. On a review, it has been decided that the other All India Financial Institutions (AIFIs) i.e. EXIM Bank and National Bank for Financing Infrastructure and Development (</w:t>
      </w:r>
      <w:proofErr w:type="spellStart"/>
      <w:r w:rsidRPr="00E7135C">
        <w:rPr>
          <w:rFonts w:ascii="Arial" w:eastAsia="Times New Roman" w:hAnsi="Arial" w:cs="Arial"/>
          <w:color w:val="000000"/>
          <w:sz w:val="20"/>
          <w:szCs w:val="20"/>
          <w:lang w:eastAsia="en-IN"/>
        </w:rPr>
        <w:t>NaBFID</w:t>
      </w:r>
      <w:proofErr w:type="spellEnd"/>
      <w:r w:rsidRPr="00E7135C">
        <w:rPr>
          <w:rFonts w:ascii="Arial" w:eastAsia="Times New Roman" w:hAnsi="Arial" w:cs="Arial"/>
          <w:color w:val="000000"/>
          <w:sz w:val="20"/>
          <w:szCs w:val="20"/>
          <w:lang w:eastAsia="en-IN"/>
        </w:rPr>
        <w:t>) shall also be considered as NDBs for NSFR computation.</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3. Further, unencumbered loans to NDBs with a residual maturity of one year or more that would qualify for a 35 per cent or lower risk weight under the Standardised Approach for credit risk</w:t>
      </w:r>
      <w:hyperlink r:id="rId33" w:anchor="F1" w:history="1">
        <w:r w:rsidRPr="00E7135C">
          <w:rPr>
            <w:rFonts w:ascii="Arial" w:eastAsia="Times New Roman" w:hAnsi="Arial" w:cs="Arial"/>
            <w:color w:val="0000FF"/>
            <w:sz w:val="15"/>
            <w:szCs w:val="15"/>
            <w:u w:val="single"/>
            <w:vertAlign w:val="superscript"/>
            <w:lang w:eastAsia="en-IN"/>
          </w:rPr>
          <w:t>1</w:t>
        </w:r>
      </w:hyperlink>
      <w:r w:rsidRPr="00E7135C">
        <w:rPr>
          <w:rFonts w:ascii="Arial" w:eastAsia="Times New Roman" w:hAnsi="Arial" w:cs="Arial"/>
          <w:color w:val="000000"/>
          <w:sz w:val="20"/>
          <w:szCs w:val="20"/>
          <w:lang w:eastAsia="en-IN"/>
        </w:rPr>
        <w:t> shall be assigned a Required Stable Funding (RSF) factor of 65 per cent (as against 100 per cent currently).</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4. Accordingly, the select instructions have been amended as detailed in </w:t>
      </w:r>
      <w:hyperlink r:id="rId34" w:anchor="ANN1" w:history="1">
        <w:r w:rsidRPr="00E7135C">
          <w:rPr>
            <w:rFonts w:ascii="Arial" w:eastAsia="Times New Roman" w:hAnsi="Arial" w:cs="Arial"/>
            <w:color w:val="0000FF"/>
            <w:sz w:val="20"/>
            <w:szCs w:val="20"/>
            <w:u w:val="single"/>
            <w:lang w:eastAsia="en-IN"/>
          </w:rPr>
          <w:t>Annex</w:t>
        </w:r>
      </w:hyperlink>
      <w:r w:rsidRPr="00E7135C">
        <w:rPr>
          <w:rFonts w:ascii="Arial" w:eastAsia="Times New Roman" w:hAnsi="Arial" w:cs="Arial"/>
          <w:color w:val="000000"/>
          <w:sz w:val="20"/>
          <w:szCs w:val="20"/>
          <w:lang w:eastAsia="en-IN"/>
        </w:rPr>
        <w:t>.</w:t>
      </w:r>
    </w:p>
    <w:p w:rsidR="00E7135C" w:rsidRPr="00E7135C" w:rsidRDefault="00E7135C" w:rsidP="00E7135C">
      <w:pPr>
        <w:spacing w:before="100" w:beforeAutospacing="1" w:after="100" w:afterAutospacing="1" w:line="240" w:lineRule="auto"/>
        <w:jc w:val="both"/>
        <w:rPr>
          <w:rFonts w:ascii="Arial" w:eastAsia="Times New Roman" w:hAnsi="Arial" w:cs="Arial"/>
          <w:b/>
          <w:bCs/>
          <w:color w:val="000000"/>
          <w:sz w:val="20"/>
          <w:szCs w:val="20"/>
          <w:lang w:eastAsia="en-IN"/>
        </w:rPr>
      </w:pPr>
      <w:r w:rsidRPr="00E7135C">
        <w:rPr>
          <w:rFonts w:ascii="Arial" w:eastAsia="Times New Roman" w:hAnsi="Arial" w:cs="Arial"/>
          <w:b/>
          <w:bCs/>
          <w:color w:val="000000"/>
          <w:sz w:val="20"/>
          <w:szCs w:val="20"/>
          <w:lang w:eastAsia="en-IN"/>
        </w:rPr>
        <w:t>Applicability</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5. This circular is applicable to all Scheduled Commercial Banks (excluding Payments Banks and Regional Rural Banks).</w:t>
      </w:r>
    </w:p>
    <w:p w:rsidR="00E7135C" w:rsidRPr="00E7135C" w:rsidRDefault="00E7135C" w:rsidP="00E7135C">
      <w:pPr>
        <w:spacing w:before="100" w:beforeAutospacing="1" w:after="100" w:afterAutospacing="1" w:line="240" w:lineRule="auto"/>
        <w:jc w:val="both"/>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6. These instructions shall come into force with immediate effect.</w:t>
      </w:r>
    </w:p>
    <w:p w:rsidR="00E7135C" w:rsidRPr="00E7135C" w:rsidRDefault="00E7135C" w:rsidP="00E7135C">
      <w:pPr>
        <w:spacing w:before="100" w:beforeAutospacing="1" w:after="100" w:afterAutospacing="1" w:line="240" w:lineRule="auto"/>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Yours faithfully</w:t>
      </w:r>
    </w:p>
    <w:p w:rsidR="00E7135C" w:rsidRDefault="00E7135C" w:rsidP="00E7135C">
      <w:pPr>
        <w:spacing w:before="100" w:beforeAutospacing="1" w:after="100" w:afterAutospacing="1" w:line="240" w:lineRule="auto"/>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 xml:space="preserve">(R. Lakshmi </w:t>
      </w:r>
      <w:proofErr w:type="spellStart"/>
      <w:r w:rsidRPr="00E7135C">
        <w:rPr>
          <w:rFonts w:ascii="Arial" w:eastAsia="Times New Roman" w:hAnsi="Arial" w:cs="Arial"/>
          <w:color w:val="000000"/>
          <w:sz w:val="20"/>
          <w:szCs w:val="20"/>
          <w:lang w:eastAsia="en-IN"/>
        </w:rPr>
        <w:t>Kanth</w:t>
      </w:r>
      <w:proofErr w:type="spellEnd"/>
      <w:r w:rsidRPr="00E7135C">
        <w:rPr>
          <w:rFonts w:ascii="Arial" w:eastAsia="Times New Roman" w:hAnsi="Arial" w:cs="Arial"/>
          <w:color w:val="000000"/>
          <w:sz w:val="20"/>
          <w:szCs w:val="20"/>
          <w:lang w:eastAsia="en-IN"/>
        </w:rPr>
        <w:t xml:space="preserve"> Rao)</w:t>
      </w:r>
      <w:r w:rsidRPr="00E7135C">
        <w:rPr>
          <w:rFonts w:ascii="Arial" w:eastAsia="Times New Roman" w:hAnsi="Arial" w:cs="Arial"/>
          <w:color w:val="000000"/>
          <w:sz w:val="20"/>
          <w:szCs w:val="20"/>
          <w:lang w:eastAsia="en-IN"/>
        </w:rPr>
        <w:br/>
        <w:t>Chief General Manager-in-Charge</w:t>
      </w:r>
    </w:p>
    <w:p w:rsidR="00E7135C" w:rsidRDefault="00E7135C" w:rsidP="00E7135C">
      <w:pPr>
        <w:spacing w:before="100" w:beforeAutospacing="1" w:after="100" w:afterAutospacing="1" w:line="240" w:lineRule="auto"/>
        <w:rPr>
          <w:rFonts w:ascii="Arial" w:eastAsia="Times New Roman" w:hAnsi="Arial" w:cs="Arial"/>
          <w:color w:val="000000"/>
          <w:sz w:val="20"/>
          <w:szCs w:val="20"/>
          <w:lang w:eastAsia="en-IN"/>
        </w:rPr>
      </w:pPr>
    </w:p>
    <w:p w:rsidR="00E7135C" w:rsidRPr="00E7135C" w:rsidRDefault="00E7135C" w:rsidP="00E7135C">
      <w:pPr>
        <w:spacing w:before="100" w:beforeAutospacing="1" w:after="100" w:afterAutospacing="1" w:line="240" w:lineRule="auto"/>
        <w:rPr>
          <w:rFonts w:ascii="Arial" w:eastAsia="Times New Roman" w:hAnsi="Arial" w:cs="Arial"/>
          <w:color w:val="000000"/>
          <w:sz w:val="20"/>
          <w:szCs w:val="20"/>
          <w:lang w:eastAsia="en-IN"/>
        </w:rPr>
      </w:pPr>
      <w:r w:rsidRPr="00E7135C">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hyperlink r:id="rId35" w:history="1">
        <w:r w:rsidRPr="00183748">
          <w:rPr>
            <w:rStyle w:val="Hyperlink"/>
            <w:rFonts w:ascii="Arial" w:eastAsia="Times New Roman" w:hAnsi="Arial" w:cs="Arial"/>
            <w:sz w:val="20"/>
            <w:szCs w:val="20"/>
            <w:lang w:eastAsia="en-IN"/>
          </w:rPr>
          <w:t>https://www.rbi.org.in/Scripts/NotificationUser.aspx?Id=12587&amp;Mode=0</w:t>
        </w:r>
      </w:hyperlink>
      <w:r>
        <w:rPr>
          <w:rFonts w:ascii="Arial" w:eastAsia="Times New Roman" w:hAnsi="Arial" w:cs="Arial"/>
          <w:color w:val="000000"/>
          <w:sz w:val="20"/>
          <w:szCs w:val="20"/>
          <w:lang w:eastAsia="en-IN"/>
        </w:rPr>
        <w:t xml:space="preserve"> </w:t>
      </w:r>
      <w:bookmarkStart w:id="0" w:name="_GoBack"/>
      <w:bookmarkEnd w:id="0"/>
    </w:p>
    <w:p w:rsidR="00E7135C" w:rsidRDefault="00E7135C" w:rsidP="00153762">
      <w:pPr>
        <w:pStyle w:val="NormalWeb"/>
        <w:rPr>
          <w:rFonts w:ascii="Arial" w:hAnsi="Arial" w:cs="Arial"/>
          <w:color w:val="000000"/>
          <w:sz w:val="20"/>
          <w:szCs w:val="20"/>
        </w:rPr>
      </w:pPr>
    </w:p>
    <w:p w:rsidR="00153762" w:rsidRDefault="00153762"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rsidP="00C65FDD">
      <w:pPr>
        <w:pStyle w:val="NormalWeb"/>
        <w:rPr>
          <w:rFonts w:ascii="Arial" w:hAnsi="Arial" w:cs="Arial"/>
          <w:color w:val="000000"/>
          <w:sz w:val="20"/>
          <w:szCs w:val="20"/>
        </w:rPr>
      </w:pPr>
    </w:p>
    <w:p w:rsidR="00C65FDD" w:rsidRDefault="00C65FDD"/>
    <w:sectPr w:rsidR="00C65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9318F"/>
    <w:multiLevelType w:val="multilevel"/>
    <w:tmpl w:val="EF343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C1B50AF"/>
    <w:multiLevelType w:val="multilevel"/>
    <w:tmpl w:val="1A963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2010050"/>
    <w:multiLevelType w:val="multilevel"/>
    <w:tmpl w:val="5010CA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11"/>
    <w:rsid w:val="00153762"/>
    <w:rsid w:val="008176BF"/>
    <w:rsid w:val="00820D11"/>
    <w:rsid w:val="00825000"/>
    <w:rsid w:val="00C65FDD"/>
    <w:rsid w:val="00E71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5E72"/>
  <w15:chartTrackingRefBased/>
  <w15:docId w15:val="{BFBCC6AC-4FF1-44C3-887A-B333441F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0D11"/>
    <w:rPr>
      <w:b/>
      <w:bCs/>
    </w:rPr>
  </w:style>
  <w:style w:type="table" w:styleId="TableGrid">
    <w:name w:val="Table Grid"/>
    <w:basedOn w:val="TableNormal"/>
    <w:uiPriority w:val="39"/>
    <w:rsid w:val="00820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5FD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C65F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65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502">
      <w:bodyDiv w:val="1"/>
      <w:marLeft w:val="0"/>
      <w:marRight w:val="0"/>
      <w:marTop w:val="0"/>
      <w:marBottom w:val="0"/>
      <w:divBdr>
        <w:top w:val="none" w:sz="0" w:space="0" w:color="auto"/>
        <w:left w:val="none" w:sz="0" w:space="0" w:color="auto"/>
        <w:bottom w:val="none" w:sz="0" w:space="0" w:color="auto"/>
        <w:right w:val="none" w:sz="0" w:space="0" w:color="auto"/>
      </w:divBdr>
    </w:div>
    <w:div w:id="84963915">
      <w:bodyDiv w:val="1"/>
      <w:marLeft w:val="0"/>
      <w:marRight w:val="0"/>
      <w:marTop w:val="0"/>
      <w:marBottom w:val="0"/>
      <w:divBdr>
        <w:top w:val="none" w:sz="0" w:space="0" w:color="auto"/>
        <w:left w:val="none" w:sz="0" w:space="0" w:color="auto"/>
        <w:bottom w:val="none" w:sz="0" w:space="0" w:color="auto"/>
        <w:right w:val="none" w:sz="0" w:space="0" w:color="auto"/>
      </w:divBdr>
    </w:div>
    <w:div w:id="429856531">
      <w:bodyDiv w:val="1"/>
      <w:marLeft w:val="0"/>
      <w:marRight w:val="0"/>
      <w:marTop w:val="0"/>
      <w:marBottom w:val="0"/>
      <w:divBdr>
        <w:top w:val="none" w:sz="0" w:space="0" w:color="auto"/>
        <w:left w:val="none" w:sz="0" w:space="0" w:color="auto"/>
        <w:bottom w:val="none" w:sz="0" w:space="0" w:color="auto"/>
        <w:right w:val="none" w:sz="0" w:space="0" w:color="auto"/>
      </w:divBdr>
    </w:div>
    <w:div w:id="544367536">
      <w:bodyDiv w:val="1"/>
      <w:marLeft w:val="0"/>
      <w:marRight w:val="0"/>
      <w:marTop w:val="0"/>
      <w:marBottom w:val="0"/>
      <w:divBdr>
        <w:top w:val="none" w:sz="0" w:space="0" w:color="auto"/>
        <w:left w:val="none" w:sz="0" w:space="0" w:color="auto"/>
        <w:bottom w:val="none" w:sz="0" w:space="0" w:color="auto"/>
        <w:right w:val="none" w:sz="0" w:space="0" w:color="auto"/>
      </w:divBdr>
    </w:div>
    <w:div w:id="1040084385">
      <w:bodyDiv w:val="1"/>
      <w:marLeft w:val="0"/>
      <w:marRight w:val="0"/>
      <w:marTop w:val="0"/>
      <w:marBottom w:val="0"/>
      <w:divBdr>
        <w:top w:val="none" w:sz="0" w:space="0" w:color="auto"/>
        <w:left w:val="none" w:sz="0" w:space="0" w:color="auto"/>
        <w:bottom w:val="none" w:sz="0" w:space="0" w:color="auto"/>
        <w:right w:val="none" w:sz="0" w:space="0" w:color="auto"/>
      </w:divBdr>
    </w:div>
    <w:div w:id="1466192571">
      <w:bodyDiv w:val="1"/>
      <w:marLeft w:val="0"/>
      <w:marRight w:val="0"/>
      <w:marTop w:val="0"/>
      <w:marBottom w:val="0"/>
      <w:divBdr>
        <w:top w:val="none" w:sz="0" w:space="0" w:color="auto"/>
        <w:left w:val="none" w:sz="0" w:space="0" w:color="auto"/>
        <w:bottom w:val="none" w:sz="0" w:space="0" w:color="auto"/>
        <w:right w:val="none" w:sz="0" w:space="0" w:color="auto"/>
      </w:divBdr>
    </w:div>
    <w:div w:id="1715545211">
      <w:bodyDiv w:val="1"/>
      <w:marLeft w:val="0"/>
      <w:marRight w:val="0"/>
      <w:marTop w:val="0"/>
      <w:marBottom w:val="0"/>
      <w:divBdr>
        <w:top w:val="none" w:sz="0" w:space="0" w:color="auto"/>
        <w:left w:val="none" w:sz="0" w:space="0" w:color="auto"/>
        <w:bottom w:val="none" w:sz="0" w:space="0" w:color="auto"/>
        <w:right w:val="none" w:sz="0" w:space="0" w:color="auto"/>
      </w:divBdr>
    </w:div>
    <w:div w:id="1766463699">
      <w:bodyDiv w:val="1"/>
      <w:marLeft w:val="0"/>
      <w:marRight w:val="0"/>
      <w:marTop w:val="0"/>
      <w:marBottom w:val="0"/>
      <w:divBdr>
        <w:top w:val="none" w:sz="0" w:space="0" w:color="auto"/>
        <w:left w:val="none" w:sz="0" w:space="0" w:color="auto"/>
        <w:bottom w:val="none" w:sz="0" w:space="0" w:color="auto"/>
        <w:right w:val="none" w:sz="0" w:space="0" w:color="auto"/>
      </w:divBdr>
      <w:divsChild>
        <w:div w:id="274992034">
          <w:blockQuote w:val="1"/>
          <w:marLeft w:val="600"/>
          <w:marRight w:val="600"/>
          <w:marTop w:val="240"/>
          <w:marBottom w:val="240"/>
          <w:divBdr>
            <w:top w:val="none" w:sz="0" w:space="0" w:color="auto"/>
            <w:left w:val="none" w:sz="0" w:space="0" w:color="auto"/>
            <w:bottom w:val="none" w:sz="0" w:space="0" w:color="auto"/>
            <w:right w:val="none" w:sz="0" w:space="0" w:color="auto"/>
          </w:divBdr>
        </w:div>
        <w:div w:id="168181061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21354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PressReleaseDisplay.aspx?prid=52688" TargetMode="External"/><Relationship Id="rId13" Type="http://schemas.openxmlformats.org/officeDocument/2006/relationships/hyperlink" Target="https://rbidocs.rbi.org.in/rdocs/content/pdfs/105MDAIFIS21092023.pdf" TargetMode="External"/><Relationship Id="rId18" Type="http://schemas.openxmlformats.org/officeDocument/2006/relationships/hyperlink" Target="https://rbi.org.in/Scripts/NotificationUser.aspx?Id=11849&amp;Mode=0" TargetMode="External"/><Relationship Id="rId26" Type="http://schemas.openxmlformats.org/officeDocument/2006/relationships/hyperlink" Target="https://www.rbi.org.in/Scripts/NotificationUser.aspx?Id=12574&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444&amp;Mode=0" TargetMode="External"/><Relationship Id="rId34" Type="http://schemas.openxmlformats.org/officeDocument/2006/relationships/hyperlink" Target="https://www.rbi.org.in/Scripts/NotificationUser.aspx?Id=12587&amp;Mode=0" TargetMode="External"/><Relationship Id="rId7" Type="http://schemas.openxmlformats.org/officeDocument/2006/relationships/hyperlink" Target="https://www.rbi.org.in/Scripts/BS_ViewMasDirections.aspx?id=12153" TargetMode="External"/><Relationship Id="rId12" Type="http://schemas.openxmlformats.org/officeDocument/2006/relationships/hyperlink" Target="https://www.rbi.org.in/Scripts/NotificationUser.aspx?Id=12534&amp;Mode=0" TargetMode="External"/><Relationship Id="rId17" Type="http://schemas.openxmlformats.org/officeDocument/2006/relationships/hyperlink" Target="https://www.rbi.org.in/Scripts/BS_PressReleaseDisplay.aspx?prid=56446" TargetMode="External"/><Relationship Id="rId25" Type="http://schemas.openxmlformats.org/officeDocument/2006/relationships/hyperlink" Target="https://www.rbi.org.in/Scripts/NotificationUser.aspx?Id=12548&amp;Mode=0" TargetMode="External"/><Relationship Id="rId33" Type="http://schemas.openxmlformats.org/officeDocument/2006/relationships/hyperlink" Target="https://www.rbi.org.in/Scripts/NotificationUser.aspx?Id=12587&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48&amp;Mode=0" TargetMode="External"/><Relationship Id="rId20" Type="http://schemas.openxmlformats.org/officeDocument/2006/relationships/hyperlink" Target="https://www.rbi.org.in/Scripts/NotificationUser.aspx?Id=12354&amp;Mode=0" TargetMode="External"/><Relationship Id="rId29" Type="http://schemas.openxmlformats.org/officeDocument/2006/relationships/hyperlink" Target="https://www.rbi.org.in/Scripts/BS_PressReleaseDisplay.aspx?prid=55238" TargetMode="External"/><Relationship Id="rId1" Type="http://schemas.openxmlformats.org/officeDocument/2006/relationships/numbering" Target="numbering.xml"/><Relationship Id="rId6" Type="http://schemas.openxmlformats.org/officeDocument/2006/relationships/hyperlink" Target="https://www.rbi.org.in/Scripts/NotificationUser.aspx?Id=12526&amp;Mode=0" TargetMode="External"/><Relationship Id="rId11" Type="http://schemas.openxmlformats.org/officeDocument/2006/relationships/hyperlink" Target="https://www.rbi.org.in/Scripts/NotificationUser.aspx?Id=12534&amp;Mode=0" TargetMode="External"/><Relationship Id="rId24" Type="http://schemas.openxmlformats.org/officeDocument/2006/relationships/hyperlink" Target="https://www.rbi.org.in/Scripts/NotificationUser.aspx?Id=12548&amp;Mode=0" TargetMode="External"/><Relationship Id="rId32" Type="http://schemas.openxmlformats.org/officeDocument/2006/relationships/hyperlink" Target="https://rbi.org.in/Scripts/NotificationUser.aspx?Id=11278&amp;Mode=0" TargetMode="External"/><Relationship Id="rId37" Type="http://schemas.openxmlformats.org/officeDocument/2006/relationships/theme" Target="theme/theme1.xml"/><Relationship Id="rId5" Type="http://schemas.openxmlformats.org/officeDocument/2006/relationships/hyperlink" Target="https://www.rbi.org.in/Scripts/NotificationUser.aspx?Id=12526&amp;Mode=0" TargetMode="External"/><Relationship Id="rId15" Type="http://schemas.openxmlformats.org/officeDocument/2006/relationships/hyperlink" Target="https://www.rbi.org.in/Scripts/BS_ViewMasDirections.aspx?id=12131" TargetMode="External"/><Relationship Id="rId23" Type="http://schemas.openxmlformats.org/officeDocument/2006/relationships/hyperlink" Target="https://www.rbi.org.in/Scripts/NotificationUser.aspx?Id=12572&amp;Mode=0" TargetMode="External"/><Relationship Id="rId28" Type="http://schemas.openxmlformats.org/officeDocument/2006/relationships/hyperlink" Target="https://rbi.org.in/Scripts/BS_PressReleaseDisplay.aspx?prid=55178" TargetMode="External"/><Relationship Id="rId36" Type="http://schemas.openxmlformats.org/officeDocument/2006/relationships/fontTable" Target="fontTable.xml"/><Relationship Id="rId10" Type="http://schemas.openxmlformats.org/officeDocument/2006/relationships/hyperlink" Target="https://rbidocs.rbi.org.in/rdocs/content/pdfs/104MDINVESTMEN12092023_AN5.pdf" TargetMode="External"/><Relationship Id="rId19" Type="http://schemas.openxmlformats.org/officeDocument/2006/relationships/hyperlink" Target="https://www.rbi.org.in/Scripts/NotificationUser.aspx?Id=11850&amp;Mode=0" TargetMode="External"/><Relationship Id="rId31" Type="http://schemas.openxmlformats.org/officeDocument/2006/relationships/hyperlink" Target="https://www.rbi.org.in/Scripts/NotificationUser.aspx?Id=12580&amp;Mode=0" TargetMode="External"/><Relationship Id="rId4" Type="http://schemas.openxmlformats.org/officeDocument/2006/relationships/webSettings" Target="webSettings.xml"/><Relationship Id="rId9" Type="http://schemas.openxmlformats.org/officeDocument/2006/relationships/hyperlink" Target="https://www.rbi.org.in/Scripts/BS_PressReleaseDisplay.aspx?prid=53103" TargetMode="External"/><Relationship Id="rId14" Type="http://schemas.openxmlformats.org/officeDocument/2006/relationships/hyperlink" Target="https://www.rbi.org.in/Scripts/NotificationUser.aspx?Id=12538&amp;Mode=0" TargetMode="External"/><Relationship Id="rId22" Type="http://schemas.openxmlformats.org/officeDocument/2006/relationships/hyperlink" Target="https://www.rbi.org.in/Scripts/NotificationUser.aspx?Id=12563&amp;Mode=0" TargetMode="External"/><Relationship Id="rId27" Type="http://schemas.openxmlformats.org/officeDocument/2006/relationships/hyperlink" Target="https://rbi.org.in/Scripts/BS_PressReleaseDisplay.aspx?prid=55179" TargetMode="External"/><Relationship Id="rId30" Type="http://schemas.openxmlformats.org/officeDocument/2006/relationships/hyperlink" Target="https://www.rbi.org.in/Scripts/NotificationUser.aspx?Id=12580&amp;Mode=0" TargetMode="External"/><Relationship Id="rId35" Type="http://schemas.openxmlformats.org/officeDocument/2006/relationships/hyperlink" Target="https://www.rbi.org.in/Scripts/NotificationUser.aspx?Id=12587&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2928</Words>
  <Characters>16696</Characters>
  <Application>Microsoft Office Word</Application>
  <DocSecurity>0</DocSecurity>
  <Lines>139</Lines>
  <Paragraphs>39</Paragraphs>
  <ScaleCrop>false</ScaleCrop>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cp:revision>
  <dcterms:created xsi:type="dcterms:W3CDTF">2024-01-19T11:32:00Z</dcterms:created>
  <dcterms:modified xsi:type="dcterms:W3CDTF">2024-01-19T11:56:00Z</dcterms:modified>
</cp:coreProperties>
</file>